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98D" w:rsidRPr="002211E1" w:rsidRDefault="002F7DCF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государственной программы</w:t>
      </w:r>
    </w:p>
    <w:p w:rsidR="0095754A" w:rsidRPr="002211E1" w:rsidRDefault="00765B15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>«</w:t>
      </w:r>
      <w:r w:rsidR="00AA58F9" w:rsidRPr="002211E1">
        <w:rPr>
          <w:rFonts w:ascii="Times New Roman" w:hAnsi="Times New Roman" w:cs="Times New Roman"/>
          <w:b/>
          <w:sz w:val="24"/>
          <w:szCs w:val="24"/>
        </w:rPr>
        <w:t>Развитие социально-трудовых отношений и содействие заня</w:t>
      </w:r>
      <w:r w:rsidRPr="002211E1">
        <w:rPr>
          <w:rFonts w:ascii="Times New Roman" w:hAnsi="Times New Roman" w:cs="Times New Roman"/>
          <w:b/>
          <w:sz w:val="24"/>
          <w:szCs w:val="24"/>
        </w:rPr>
        <w:t>тости населения</w:t>
      </w:r>
      <w:r w:rsidR="002F7DCF" w:rsidRPr="00221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A9F" w:rsidRPr="002211E1">
        <w:rPr>
          <w:rFonts w:ascii="Times New Roman" w:hAnsi="Times New Roman" w:cs="Times New Roman"/>
          <w:b/>
          <w:sz w:val="24"/>
          <w:szCs w:val="24"/>
        </w:rPr>
        <w:t>Удмуртской Республики</w:t>
      </w:r>
      <w:r w:rsidRPr="002211E1">
        <w:rPr>
          <w:rFonts w:ascii="Times New Roman" w:hAnsi="Times New Roman" w:cs="Times New Roman"/>
          <w:b/>
          <w:sz w:val="24"/>
          <w:szCs w:val="24"/>
        </w:rPr>
        <w:t>»</w:t>
      </w:r>
    </w:p>
    <w:p w:rsidR="0052198D" w:rsidRPr="002211E1" w:rsidRDefault="0095754A" w:rsidP="005C16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E1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F64E47" w:rsidRPr="002211E1">
        <w:rPr>
          <w:rFonts w:ascii="Times New Roman" w:hAnsi="Times New Roman" w:cs="Times New Roman"/>
          <w:b/>
          <w:sz w:val="24"/>
          <w:szCs w:val="24"/>
        </w:rPr>
        <w:t>9</w:t>
      </w:r>
      <w:r w:rsidRPr="002211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F7DCF" w:rsidRPr="002211E1" w:rsidRDefault="002F7DCF" w:rsidP="005C16E1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2211E1">
        <w:t>Степень достижения планового значения каждого целевого показателя (индикатора) государственной программы и подпрограмм:</w:t>
      </w:r>
    </w:p>
    <w:tbl>
      <w:tblPr>
        <w:tblW w:w="14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53"/>
        <w:gridCol w:w="495"/>
        <w:gridCol w:w="460"/>
        <w:gridCol w:w="6018"/>
        <w:gridCol w:w="960"/>
        <w:gridCol w:w="1204"/>
        <w:gridCol w:w="1134"/>
        <w:gridCol w:w="1348"/>
        <w:gridCol w:w="1429"/>
        <w:gridCol w:w="1429"/>
      </w:tblGrid>
      <w:tr w:rsidR="003F14A7" w:rsidRPr="002211E1" w:rsidTr="00582FD5">
        <w:trPr>
          <w:tblHeader/>
          <w:tblCellSpacing w:w="5" w:type="nil"/>
          <w:jc w:val="center"/>
        </w:trPr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11E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211E1">
              <w:rPr>
                <w:sz w:val="18"/>
                <w:szCs w:val="18"/>
              </w:rPr>
              <w:t>/</w:t>
            </w:r>
            <w:proofErr w:type="spellStart"/>
            <w:r w:rsidRPr="002211E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для целевых показателей (индикаторов), желаемой тенденцией развития которых является увеличение значений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211E1">
              <w:rPr>
                <w:sz w:val="18"/>
                <w:szCs w:val="18"/>
              </w:rPr>
              <w:t>СД</w:t>
            </w:r>
            <w:r w:rsidRPr="002211E1">
              <w:rPr>
                <w:sz w:val="18"/>
                <w:szCs w:val="18"/>
                <w:vertAlign w:val="subscript"/>
              </w:rPr>
              <w:t>цп</w:t>
            </w:r>
            <w:r w:rsidRPr="002211E1">
              <w:rPr>
                <w:sz w:val="18"/>
                <w:szCs w:val="18"/>
              </w:rPr>
              <w:t>=ЗП</w:t>
            </w:r>
            <w:r w:rsidRPr="002211E1">
              <w:rPr>
                <w:sz w:val="18"/>
                <w:szCs w:val="18"/>
                <w:vertAlign w:val="subscript"/>
              </w:rPr>
              <w:t>ф</w:t>
            </w:r>
            <w:proofErr w:type="spellEnd"/>
            <w:r w:rsidRPr="002211E1">
              <w:rPr>
                <w:sz w:val="18"/>
                <w:szCs w:val="18"/>
              </w:rPr>
              <w:t>/</w:t>
            </w:r>
            <w:proofErr w:type="spellStart"/>
            <w:r w:rsidRPr="002211E1">
              <w:rPr>
                <w:sz w:val="18"/>
                <w:szCs w:val="18"/>
              </w:rPr>
              <w:t>ЗП</w:t>
            </w:r>
            <w:r w:rsidRPr="002211E1">
              <w:rPr>
                <w:sz w:val="18"/>
                <w:szCs w:val="18"/>
                <w:vertAlign w:val="subscript"/>
              </w:rPr>
              <w:t>п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для целевых показателей (индикаторов), желаемой тенденцией развития которых является снижение значений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211E1">
              <w:rPr>
                <w:sz w:val="18"/>
                <w:szCs w:val="18"/>
              </w:rPr>
              <w:t>СД</w:t>
            </w:r>
            <w:r w:rsidRPr="002211E1">
              <w:rPr>
                <w:sz w:val="18"/>
                <w:szCs w:val="18"/>
                <w:vertAlign w:val="subscript"/>
              </w:rPr>
              <w:t>цп</w:t>
            </w:r>
            <w:r w:rsidRPr="002211E1">
              <w:rPr>
                <w:sz w:val="18"/>
                <w:szCs w:val="18"/>
              </w:rPr>
              <w:t>=</w:t>
            </w:r>
            <w:proofErr w:type="spellEnd"/>
            <w:r w:rsidRPr="002211E1">
              <w:rPr>
                <w:sz w:val="18"/>
                <w:szCs w:val="18"/>
              </w:rPr>
              <w:t xml:space="preserve"> </w:t>
            </w:r>
            <w:proofErr w:type="spellStart"/>
            <w:r w:rsidRPr="002211E1">
              <w:rPr>
                <w:sz w:val="18"/>
                <w:szCs w:val="18"/>
              </w:rPr>
              <w:t>ЗП</w:t>
            </w:r>
            <w:r w:rsidRPr="002211E1">
              <w:rPr>
                <w:sz w:val="18"/>
                <w:szCs w:val="18"/>
                <w:vertAlign w:val="subscript"/>
              </w:rPr>
              <w:t>п</w:t>
            </w:r>
            <w:proofErr w:type="spellEnd"/>
            <w:r w:rsidRPr="002211E1">
              <w:rPr>
                <w:sz w:val="18"/>
                <w:szCs w:val="18"/>
              </w:rPr>
              <w:t>/</w:t>
            </w:r>
            <w:proofErr w:type="spellStart"/>
            <w:r w:rsidRPr="002211E1">
              <w:rPr>
                <w:sz w:val="18"/>
                <w:szCs w:val="18"/>
              </w:rPr>
              <w:t>ЗП</w:t>
            </w:r>
            <w:r w:rsidRPr="002211E1">
              <w:rPr>
                <w:sz w:val="18"/>
                <w:szCs w:val="18"/>
                <w:vertAlign w:val="subscript"/>
              </w:rPr>
              <w:t>ф</w:t>
            </w:r>
            <w:proofErr w:type="spellEnd"/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Степень достижения показателя</w:t>
            </w:r>
          </w:p>
        </w:tc>
      </w:tr>
      <w:tr w:rsidR="003F14A7" w:rsidRPr="002211E1" w:rsidTr="00582FD5">
        <w:trPr>
          <w:trHeight w:val="276"/>
          <w:tblHeader/>
          <w:tblCellSpacing w:w="5" w:type="nil"/>
          <w:jc w:val="center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план на текущий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значение на конец отчетного года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F14A7" w:rsidRPr="002211E1" w:rsidTr="00582FD5">
        <w:trPr>
          <w:tblHeader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11E1">
              <w:rPr>
                <w:sz w:val="18"/>
                <w:szCs w:val="18"/>
              </w:rPr>
              <w:t>ГП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2211E1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00B2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2" w:rsidRPr="002211E1" w:rsidRDefault="007200B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B2" w:rsidRPr="002211E1" w:rsidRDefault="007200B2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B2" w:rsidRPr="002211E1" w:rsidRDefault="007200B2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B2" w:rsidRPr="002211E1" w:rsidRDefault="007200B2" w:rsidP="005C16E1">
            <w:pPr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Государственная программа «Развитие социально-трудовых отношений и содействие занятости населения Удмуртской Республики»</w:t>
            </w:r>
          </w:p>
        </w:tc>
      </w:tr>
      <w:tr w:rsidR="003F14A7" w:rsidRPr="002211E1" w:rsidTr="00582FD5">
        <w:trPr>
          <w:trHeight w:val="475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Реальные располагаемые денежные доходы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95,5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0,945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F64E47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</w:t>
            </w:r>
            <w:r w:rsidR="00F64E47" w:rsidRPr="002211E1">
              <w:rPr>
                <w:sz w:val="22"/>
                <w:szCs w:val="22"/>
              </w:rPr>
              <w:t>945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Номинальная начисленная средняя заработная плата одного работника (в среднем за период)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33402,0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34069,0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 w:rsidRPr="002211E1">
              <w:rPr>
                <w:rFonts w:eastAsia="Times New Roman"/>
                <w:sz w:val="22"/>
                <w:szCs w:val="22"/>
              </w:rPr>
              <w:t>1,02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 w:rsidRPr="002211E1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Уровень безработицы (по методологии МОТ) в среднем за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705CA0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4,8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0,979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705CA0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0,9</w:t>
            </w:r>
            <w:r w:rsidR="00ED22DA" w:rsidRPr="002211E1">
              <w:rPr>
                <w:sz w:val="22"/>
                <w:szCs w:val="22"/>
                <w:lang w:eastAsia="en-US"/>
              </w:rPr>
              <w:t>79</w:t>
            </w:r>
          </w:p>
        </w:tc>
      </w:tr>
      <w:tr w:rsidR="003F14A7" w:rsidRPr="002211E1" w:rsidTr="00582FD5">
        <w:trPr>
          <w:trHeight w:val="607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Уровень регистрируемой безработицы от численности экономически активного населения в среднем за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0,98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4A7" w:rsidRPr="002211E1" w:rsidRDefault="00F64E4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 w:rsidRPr="002211E1">
              <w:rPr>
                <w:rFonts w:eastAsia="Times New Roman"/>
                <w:sz w:val="22"/>
                <w:szCs w:val="22"/>
              </w:rPr>
              <w:t>1,122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3F14A7" w:rsidRPr="002211E1" w:rsidRDefault="003F14A7" w:rsidP="005C16E1">
            <w:pPr>
              <w:pStyle w:val="ad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</w:rPr>
            </w:pPr>
            <w:r w:rsidRPr="002211E1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rHeight w:val="2388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Доля государственных услуг и услуг, указанных в </w:t>
            </w:r>
            <w:hyperlink r:id="rId8" w:history="1">
              <w:r w:rsidRPr="002211E1">
                <w:rPr>
                  <w:sz w:val="22"/>
                  <w:szCs w:val="22"/>
                </w:rPr>
                <w:t>части 3 статьи 1</w:t>
              </w:r>
            </w:hyperlink>
            <w:r w:rsidRPr="002211E1">
              <w:rPr>
                <w:sz w:val="22"/>
                <w:szCs w:val="22"/>
              </w:rPr>
              <w:t xml:space="preserve"> Федерального закона № 210-ФЗ, предоставленных на основании заявлений и документов, поданных в электронной форме через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и муниципальных услуг (функций)», от общего количества предоставленных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F64E47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0,946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0,946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заявителей, удовлетворенных качеством предоставления государственных услуг исполнительным органом государственной власти Удмуртской Республики, от общего числа заявителей, обратившихся за получением государственных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C06A09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C06A09" w:rsidP="005C16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Время ожидания в очереди при обращении заявителя в исполнительный орган государственной власти Удмуртской Республики для получения государственных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минут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86156E" w:rsidRPr="002211E1" w:rsidTr="0040376C">
        <w:trPr>
          <w:trHeight w:val="457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0" w:name="Par4936"/>
        <w:bookmarkEnd w:id="0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BE2A3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86156E" w:rsidRPr="002211E1">
              <w:rPr>
                <w:b/>
                <w:sz w:val="22"/>
                <w:szCs w:val="22"/>
              </w:rPr>
              <w:instrText xml:space="preserve">HYPERLINK \l Par415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86156E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86156E" w:rsidRPr="002211E1">
              <w:rPr>
                <w:b/>
                <w:sz w:val="22"/>
                <w:szCs w:val="22"/>
              </w:rPr>
              <w:t xml:space="preserve"> «Развитие системы социального партнерства в Удмуртской Республике»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Количество работающих по коллективным договорам в общей численности, работающих в республике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B40FDB" w:rsidP="00F64E47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</w:t>
            </w:r>
            <w:r w:rsidR="0040376C" w:rsidRPr="002211E1">
              <w:rPr>
                <w:sz w:val="22"/>
                <w:szCs w:val="22"/>
              </w:rPr>
              <w:t>00</w:t>
            </w:r>
            <w:r w:rsidR="00F64E47"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86156E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1" w:name="Par4952"/>
        <w:bookmarkEnd w:id="1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6E" w:rsidRPr="002211E1" w:rsidRDefault="00BE2A3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86156E" w:rsidRPr="002211E1">
              <w:rPr>
                <w:b/>
                <w:sz w:val="22"/>
                <w:szCs w:val="22"/>
              </w:rPr>
              <w:instrText xml:space="preserve">HYPERLINK \l Par588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86156E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86156E" w:rsidRPr="002211E1">
              <w:rPr>
                <w:b/>
                <w:sz w:val="22"/>
                <w:szCs w:val="22"/>
              </w:rPr>
              <w:t xml:space="preserve"> «Оказание содействия добровольному переселению в Удмуртскую Республику соотечественников,</w:t>
            </w:r>
          </w:p>
          <w:p w:rsidR="0086156E" w:rsidRPr="002211E1" w:rsidRDefault="0086156E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проживающих за рубежом, на 2015 – 2017 годы»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Количество участников подпрограммы и членов их семей, прибывших и зарегистрированных Управлением Федеральной миграционной службы по Удмуртской Республике на территории вселения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137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F64E47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</w:t>
            </w:r>
            <w:r w:rsidR="00F64E47" w:rsidRPr="002211E1">
              <w:rPr>
                <w:sz w:val="22"/>
                <w:szCs w:val="22"/>
              </w:rPr>
              <w:t>317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рассмотренных уполномоченным органом заявлений соотечественников – потенциальных участников подпрограммы, с учетом сроков, предусмотренных подпрограммой от общего числа поступивших заявлений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Охват трудоустройством участников подпрограммы и членов их семей, включая открывших собственный бизнес, от числа прибывших участников подпрограммы на конец отчетного года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211E1">
              <w:rPr>
                <w:sz w:val="20"/>
                <w:szCs w:val="20"/>
              </w:rPr>
              <w:t xml:space="preserve">% </w:t>
            </w:r>
          </w:p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0"/>
                <w:szCs w:val="20"/>
              </w:rPr>
              <w:t>от общего числа трудоспособных участников подпрограммы и членов их семей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F64E47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</w:t>
            </w:r>
            <w:r w:rsidR="00F64E47" w:rsidRPr="002211E1">
              <w:rPr>
                <w:sz w:val="22"/>
                <w:szCs w:val="22"/>
              </w:rPr>
              <w:t>286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Охват участников подпрограммы и членов их семей, принявших участие в различных мероприятиях по социально-культурной адаптации и интеграции соотечественников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F06B5B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F06B5B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F06B5B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F06B5B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2" w:name="Par4968"/>
        <w:bookmarkEnd w:id="2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BE2A3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F06B5B" w:rsidRPr="002211E1">
              <w:rPr>
                <w:b/>
                <w:sz w:val="22"/>
                <w:szCs w:val="22"/>
              </w:rPr>
              <w:instrText xml:space="preserve">HYPERLINK \l Par708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F06B5B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F06B5B" w:rsidRPr="002211E1">
              <w:rPr>
                <w:b/>
                <w:sz w:val="22"/>
                <w:szCs w:val="22"/>
              </w:rPr>
              <w:t xml:space="preserve"> «Развитие системы оплаты и нормирования труда в Удмуртской Республике и регулирование уровня минимальных социальных стандартов в области денежных доходов населения Удмуртской республики»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работников учреждений, с которыми заключены «эффективные контракты»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учреждений, в отношении которых соотношение средней заработной платы руководителей учреждений и средней заработной платы работников в целом по учреждению составляет более чем шестикратный размер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Реальная среднемесячная заработная плата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F64E4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F64E47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</w:t>
            </w:r>
            <w:r w:rsidR="00F64E47" w:rsidRPr="002211E1">
              <w:rPr>
                <w:sz w:val="22"/>
                <w:szCs w:val="22"/>
              </w:rPr>
              <w:t>2</w:t>
            </w:r>
            <w:r w:rsidRPr="002211E1">
              <w:rPr>
                <w:sz w:val="22"/>
                <w:szCs w:val="22"/>
              </w:rPr>
              <w:t>,</w:t>
            </w:r>
            <w:r w:rsidR="00F64E47" w:rsidRPr="002211E1">
              <w:rPr>
                <w:sz w:val="22"/>
                <w:szCs w:val="22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C" w:rsidRPr="002211E1" w:rsidRDefault="0040376C" w:rsidP="00F64E47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</w:t>
            </w:r>
            <w:r w:rsidR="00F64E47" w:rsidRPr="002211E1">
              <w:rPr>
                <w:sz w:val="22"/>
                <w:szCs w:val="22"/>
              </w:rPr>
              <w:t>027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40376C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населения с денежными доходами ниже региональной величины прожиточного минимума в общей численности населения Удмуртской Республики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705CA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12,2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0,984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0,984</w:t>
            </w:r>
          </w:p>
        </w:tc>
      </w:tr>
      <w:tr w:rsidR="00F06B5B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F06B5B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F06B5B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F06B5B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3" w:name="Par5020"/>
        <w:bookmarkEnd w:id="3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5B" w:rsidRPr="002211E1" w:rsidRDefault="00BE2A3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F06B5B" w:rsidRPr="002211E1">
              <w:rPr>
                <w:b/>
                <w:sz w:val="22"/>
                <w:szCs w:val="22"/>
              </w:rPr>
              <w:instrText xml:space="preserve">HYPERLINK \l Par1148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F06B5B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F06B5B" w:rsidRPr="002211E1">
              <w:rPr>
                <w:b/>
                <w:sz w:val="22"/>
                <w:szCs w:val="22"/>
              </w:rPr>
              <w:t xml:space="preserve"> «Улучшение условий и охраны труда в Удмуртской Республике»</w:t>
            </w:r>
          </w:p>
        </w:tc>
      </w:tr>
      <w:tr w:rsidR="003F14A7" w:rsidRPr="002211E1" w:rsidTr="003000D2">
        <w:trPr>
          <w:trHeight w:val="624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Численность пострадавших в результате несчастных случаев на производстве со смертельным исходом (по данным ГИТ в УР)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705CA0" w:rsidP="00566B38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  <w:r w:rsidR="00566B38" w:rsidRPr="002211E1">
              <w:rPr>
                <w:sz w:val="22"/>
                <w:szCs w:val="22"/>
              </w:rPr>
              <w:t>786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(по данным ГУ - РО ФСС РФ по УР)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66B38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583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1,455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Количество дней временной нетрудоспособности в связи с несчастным случаем на производстве в расчете на 1 пострадавшего (по данным ГУ - РО ФСС РФ по УР)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дней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705CA0" w:rsidP="00566B38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62,</w:t>
            </w:r>
            <w:r w:rsidR="00566B38" w:rsidRPr="002211E1">
              <w:rPr>
                <w:sz w:val="22"/>
                <w:szCs w:val="22"/>
              </w:rPr>
              <w:t>68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1,060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(по данным Управления </w:t>
            </w:r>
            <w:proofErr w:type="spellStart"/>
            <w:r w:rsidRPr="002211E1">
              <w:rPr>
                <w:sz w:val="22"/>
                <w:szCs w:val="22"/>
              </w:rPr>
              <w:t>Роспотребнадзора</w:t>
            </w:r>
            <w:proofErr w:type="spellEnd"/>
            <w:r w:rsidRPr="002211E1">
              <w:rPr>
                <w:sz w:val="22"/>
                <w:szCs w:val="22"/>
              </w:rPr>
              <w:t xml:space="preserve"> по Удмуртской Республике)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4,5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Количество рабочих мест, на которых проведена специальная оценка условий труда (по данным ГУ - РО ФСС РФ по УР)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ед.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255875,0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312114,0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66B38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</w:t>
            </w:r>
            <w:r w:rsidR="00566B38" w:rsidRPr="002211E1">
              <w:rPr>
                <w:sz w:val="22"/>
                <w:szCs w:val="22"/>
              </w:rPr>
              <w:t>220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 (по данным ГУ - РО ФСС РФ по УР)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66B38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59,</w:t>
            </w:r>
            <w:r w:rsidR="00566B38" w:rsidRPr="002211E1">
              <w:rPr>
                <w:sz w:val="22"/>
                <w:szCs w:val="22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66B38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1,1</w:t>
            </w:r>
            <w:r w:rsidR="00566B38" w:rsidRPr="002211E1">
              <w:rPr>
                <w:sz w:val="22"/>
                <w:szCs w:val="22"/>
              </w:rPr>
              <w:t>7</w:t>
            </w: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3000D2">
        <w:trPr>
          <w:trHeight w:val="748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8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Численность работников, занятых на работах с вредными и (или) опасными условиями труда (по данным ГУ - РО ФСС РФ по УР)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164894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161485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1,021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Удельный вес работников, занятых на работах с вредными и (или) опасными условиями труда, от общей численности работников (по данным ГУ - РО ФСС РФ по УР)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32,98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1,022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Количество обученных по охране труда и прошедших проверку знаний требований охраны труда руководителей и специалистов организаций в Удмуртской Республике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14508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17517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66B38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</w:t>
            </w:r>
            <w:r w:rsidR="00566B38" w:rsidRPr="002211E1">
              <w:rPr>
                <w:sz w:val="22"/>
                <w:szCs w:val="22"/>
              </w:rPr>
              <w:t>207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C13146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6" w:rsidRPr="002211E1" w:rsidRDefault="00C13146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6" w:rsidRPr="002211E1" w:rsidRDefault="00C13146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6" w:rsidRPr="002211E1" w:rsidRDefault="00C13146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4" w:name="Par5144"/>
        <w:bookmarkEnd w:id="4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6" w:rsidRPr="002211E1" w:rsidRDefault="00BE2A3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C13146" w:rsidRPr="002211E1">
              <w:rPr>
                <w:b/>
                <w:sz w:val="22"/>
                <w:szCs w:val="22"/>
              </w:rPr>
              <w:instrText xml:space="preserve">HYPERLINK \l Par2022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C13146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C13146" w:rsidRPr="002211E1">
              <w:rPr>
                <w:b/>
                <w:sz w:val="22"/>
                <w:szCs w:val="22"/>
              </w:rPr>
              <w:t xml:space="preserve"> «Кадровая обеспеченность экономики Удмуртской Республики»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предприятий, организаций в Удмуртской Республике, участвующих в формировании прогноза потребности в квалифицированных кадрах, от общего количества предприятий, организаций в Удмуртской Республике</w:t>
            </w:r>
          </w:p>
          <w:p w:rsidR="001B0D29" w:rsidRPr="002211E1" w:rsidRDefault="001B0D29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66B3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1</w:t>
            </w:r>
            <w:r w:rsidR="00566B38" w:rsidRPr="002211E1">
              <w:rPr>
                <w:sz w:val="22"/>
                <w:szCs w:val="22"/>
                <w:lang w:eastAsia="en-US"/>
              </w:rPr>
              <w:t>,389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211E1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62D95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462D9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462D9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462D95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5" w:name="Par5184"/>
        <w:bookmarkEnd w:id="5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BE2A3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462D95" w:rsidRPr="002211E1">
              <w:rPr>
                <w:b/>
                <w:sz w:val="22"/>
                <w:szCs w:val="22"/>
              </w:rPr>
              <w:instrText xml:space="preserve">HYPERLINK \l Par2393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462D95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462D95" w:rsidRPr="002211E1">
              <w:rPr>
                <w:b/>
                <w:sz w:val="22"/>
                <w:szCs w:val="22"/>
              </w:rPr>
              <w:t xml:space="preserve"> «Активная политика занятости населения и социальная поддержка безработных граждан»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трудоустроенных граждан в общей численности граждан, обратившихся за содействием в государственные учреждения занятости с целью поиска подходящей работы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000D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61</w:t>
            </w:r>
            <w:r w:rsidR="00566B38" w:rsidRPr="002211E1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0,820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0,820</w:t>
            </w:r>
          </w:p>
        </w:tc>
      </w:tr>
      <w:tr w:rsidR="003F14A7" w:rsidRPr="002211E1" w:rsidTr="00566B38">
        <w:trPr>
          <w:trHeight w:val="829"/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безработных граждан, ищущих работу 12 и более месяцев,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4,63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A7" w:rsidRPr="002211E1" w:rsidRDefault="003000D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  <w:r w:rsidR="00566B38" w:rsidRPr="002211E1">
              <w:rPr>
                <w:sz w:val="22"/>
                <w:szCs w:val="22"/>
              </w:rPr>
              <w:t>,348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4A7" w:rsidRPr="002211E1" w:rsidRDefault="003000D2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граждан, признанных безработными, в численности безработных граждан, окончивших профессиональное обучение и получивших дополнительное профессиональное образование, включая обучение в другой местности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0,4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566B38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6B38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8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Численность работников предприятий, прошедших </w:t>
            </w:r>
            <w:r w:rsidRPr="002211E1">
              <w:rPr>
                <w:sz w:val="22"/>
                <w:szCs w:val="22"/>
              </w:rPr>
              <w:lastRenderedPageBreak/>
              <w:t xml:space="preserve">опережающее профессиональное обучение и дополнительное профессиональное образование в </w:t>
            </w:r>
            <w:proofErr w:type="gramStart"/>
            <w:r w:rsidRPr="002211E1">
              <w:rPr>
                <w:sz w:val="22"/>
                <w:szCs w:val="22"/>
              </w:rPr>
              <w:t>целях</w:t>
            </w:r>
            <w:proofErr w:type="gramEnd"/>
            <w:r w:rsidRPr="002211E1">
              <w:rPr>
                <w:sz w:val="22"/>
                <w:szCs w:val="22"/>
              </w:rPr>
              <w:t xml:space="preserve"> повышения производительности труда по Удмуртской Республике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3605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3,227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6B38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Доля трудоустроенных работников в численности работников, прошедших переобучение, повысивших квалификацию в рамках мероприятий в области поддержки занятости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не менее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1,1</w:t>
            </w:r>
            <w:r w:rsidR="007C2BAA" w:rsidRPr="002211E1">
              <w:rPr>
                <w:sz w:val="22"/>
                <w:szCs w:val="22"/>
              </w:rPr>
              <w:t>77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566B38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10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Численность граждан 50-ти лет и старше, а также лиц </w:t>
            </w:r>
            <w:proofErr w:type="spellStart"/>
            <w:r w:rsidRPr="002211E1">
              <w:rPr>
                <w:sz w:val="22"/>
                <w:szCs w:val="22"/>
              </w:rPr>
              <w:t>предпенсионного</w:t>
            </w:r>
            <w:proofErr w:type="spellEnd"/>
            <w:r w:rsidRPr="002211E1">
              <w:rPr>
                <w:sz w:val="22"/>
                <w:szCs w:val="22"/>
              </w:rPr>
              <w:t xml:space="preserve"> возраста, прошедших профессиональное обучение и дополнительное профессиональное образование, человек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1750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3,223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566B38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38" w:rsidRPr="002211E1" w:rsidRDefault="007C2BA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BC64EA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Доля граждан 50 лет и старше, а также лиц </w:t>
            </w:r>
            <w:proofErr w:type="spellStart"/>
            <w:r w:rsidRPr="002211E1">
              <w:rPr>
                <w:sz w:val="22"/>
                <w:szCs w:val="22"/>
              </w:rPr>
              <w:t>предпенсионного</w:t>
            </w:r>
            <w:proofErr w:type="spellEnd"/>
            <w:r w:rsidRPr="002211E1">
              <w:rPr>
                <w:sz w:val="22"/>
                <w:szCs w:val="22"/>
              </w:rPr>
              <w:t xml:space="preserve"> возраста, прошедших профессиональное обучение или дополнительное профессиональное образование, трудоустроенных в течение одного года после окончания обучения, процентов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BC64EA">
            <w:pPr>
              <w:jc w:val="center"/>
            </w:pPr>
            <w:r w:rsidRPr="002211E1">
              <w:rPr>
                <w:sz w:val="22"/>
                <w:szCs w:val="22"/>
              </w:rPr>
              <w:t>не менее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BC64EA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2,265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BC64EA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12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 xml:space="preserve">Доля работников 50-ти лет и старше, а также лиц </w:t>
            </w:r>
            <w:proofErr w:type="spellStart"/>
            <w:r w:rsidRPr="002211E1">
              <w:rPr>
                <w:sz w:val="22"/>
                <w:szCs w:val="22"/>
              </w:rPr>
              <w:t>предпенсионного</w:t>
            </w:r>
            <w:proofErr w:type="spellEnd"/>
            <w:r w:rsidRPr="002211E1">
              <w:rPr>
                <w:sz w:val="22"/>
                <w:szCs w:val="22"/>
              </w:rPr>
              <w:t xml:space="preserve"> возраста, прошедших профессиональное обучение или дополнительное профессиональное образование, продолжающих осуществлять трудовую деятельность не менее года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BC64EA">
            <w:pPr>
              <w:jc w:val="center"/>
            </w:pPr>
            <w:r w:rsidRPr="002211E1">
              <w:rPr>
                <w:sz w:val="22"/>
                <w:szCs w:val="22"/>
              </w:rPr>
              <w:t>не менее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85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BC64EA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52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13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2211E1">
              <w:rPr>
                <w:sz w:val="22"/>
                <w:szCs w:val="22"/>
              </w:rPr>
              <w:t xml:space="preserve"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      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EA" w:rsidRPr="002211E1" w:rsidRDefault="00BC64EA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  <w:tr w:rsidR="00462D95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462D9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462D95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462D95" w:rsidP="005C16E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bookmarkStart w:id="6" w:name="Par5316"/>
        <w:bookmarkEnd w:id="6"/>
        <w:tc>
          <w:tcPr>
            <w:tcW w:w="1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95" w:rsidRPr="002211E1" w:rsidRDefault="00BE2A37" w:rsidP="005C16E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211E1">
              <w:rPr>
                <w:b/>
                <w:sz w:val="22"/>
                <w:szCs w:val="22"/>
              </w:rPr>
              <w:fldChar w:fldCharType="begin"/>
            </w:r>
            <w:r w:rsidR="00462D95" w:rsidRPr="002211E1">
              <w:rPr>
                <w:b/>
                <w:sz w:val="22"/>
                <w:szCs w:val="22"/>
              </w:rPr>
              <w:instrText xml:space="preserve">HYPERLINK \l Par4588  </w:instrText>
            </w:r>
            <w:r w:rsidRPr="002211E1">
              <w:rPr>
                <w:b/>
                <w:sz w:val="22"/>
                <w:szCs w:val="22"/>
              </w:rPr>
              <w:fldChar w:fldCharType="separate"/>
            </w:r>
            <w:r w:rsidR="00462D95" w:rsidRPr="002211E1">
              <w:rPr>
                <w:b/>
                <w:sz w:val="22"/>
                <w:szCs w:val="22"/>
              </w:rPr>
              <w:t>Подпрограмма</w:t>
            </w:r>
            <w:r w:rsidRPr="002211E1">
              <w:rPr>
                <w:b/>
                <w:sz w:val="22"/>
                <w:szCs w:val="22"/>
              </w:rPr>
              <w:fldChar w:fldCharType="end"/>
            </w:r>
            <w:r w:rsidR="00462D95" w:rsidRPr="002211E1">
              <w:rPr>
                <w:b/>
                <w:sz w:val="22"/>
                <w:szCs w:val="22"/>
              </w:rPr>
              <w:t xml:space="preserve"> «Создание условий для реализации государственной программы»</w:t>
            </w:r>
          </w:p>
        </w:tc>
      </w:tr>
      <w:tr w:rsidR="003F14A7" w:rsidRPr="002211E1" w:rsidTr="00582FD5">
        <w:trPr>
          <w:tblCellSpacing w:w="5" w:type="nil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32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не менее 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AB632C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99,1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705CA0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3F14A7" w:rsidP="005C16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A7" w:rsidRPr="002211E1" w:rsidRDefault="002033CB" w:rsidP="005C16E1">
            <w:pPr>
              <w:jc w:val="center"/>
              <w:rPr>
                <w:sz w:val="22"/>
                <w:szCs w:val="22"/>
              </w:rPr>
            </w:pPr>
            <w:r w:rsidRPr="002211E1">
              <w:rPr>
                <w:sz w:val="22"/>
                <w:szCs w:val="22"/>
              </w:rPr>
              <w:t>1</w:t>
            </w:r>
          </w:p>
        </w:tc>
      </w:tr>
    </w:tbl>
    <w:p w:rsidR="00C34F7E" w:rsidRPr="002211E1" w:rsidRDefault="00C34F7E" w:rsidP="005C16E1">
      <w:pPr>
        <w:pStyle w:val="ad"/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2211E1">
        <w:rPr>
          <w:b/>
        </w:rPr>
        <w:lastRenderedPageBreak/>
        <w:t>Степень достижения плановых значений целевых показателей (индикаторов) Программы в целом оценивается по формуле:</w:t>
      </w:r>
    </w:p>
    <w:p w:rsidR="00C34F7E" w:rsidRPr="002211E1" w:rsidRDefault="00C34F7E" w:rsidP="005C16E1">
      <w:pPr>
        <w:pStyle w:val="ad"/>
        <w:tabs>
          <w:tab w:val="left" w:pos="1134"/>
        </w:tabs>
        <w:ind w:left="720"/>
        <w:jc w:val="both"/>
      </w:pPr>
      <w:proofErr w:type="spellStart"/>
      <w:r w:rsidRPr="002211E1">
        <w:rPr>
          <w:b/>
        </w:rPr>
        <w:t>СДг</w:t>
      </w:r>
      <w:proofErr w:type="spellEnd"/>
      <w:r w:rsidRPr="002211E1">
        <w:rPr>
          <w:b/>
        </w:rPr>
        <w:t>/</w:t>
      </w:r>
      <w:proofErr w:type="spellStart"/>
      <w:r w:rsidRPr="002211E1">
        <w:rPr>
          <w:b/>
        </w:rPr>
        <w:t>п</w:t>
      </w:r>
      <w:proofErr w:type="spellEnd"/>
      <w:r w:rsidRPr="002211E1">
        <w:rPr>
          <w:b/>
        </w:rPr>
        <w:t xml:space="preserve"> = ∑ </w:t>
      </w:r>
      <w:proofErr w:type="spellStart"/>
      <w:r w:rsidRPr="002211E1">
        <w:rPr>
          <w:b/>
        </w:rPr>
        <w:t>СДцп</w:t>
      </w:r>
      <w:proofErr w:type="spellEnd"/>
      <w:r w:rsidRPr="002211E1">
        <w:rPr>
          <w:b/>
        </w:rPr>
        <w:t xml:space="preserve"> / </w:t>
      </w:r>
      <w:r w:rsidRPr="002211E1">
        <w:rPr>
          <w:b/>
          <w:lang w:val="en-US"/>
        </w:rPr>
        <w:t>N</w:t>
      </w:r>
      <w:r w:rsidRPr="002211E1">
        <w:t>, где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proofErr w:type="spellStart"/>
      <w:r w:rsidRPr="002211E1">
        <w:rPr>
          <w:b/>
        </w:rPr>
        <w:t>СДг</w:t>
      </w:r>
      <w:proofErr w:type="spellEnd"/>
      <w:r w:rsidRPr="002211E1">
        <w:rPr>
          <w:b/>
        </w:rPr>
        <w:t>/</w:t>
      </w:r>
      <w:proofErr w:type="spellStart"/>
      <w:r w:rsidRPr="002211E1">
        <w:rPr>
          <w:b/>
        </w:rPr>
        <w:t>п</w:t>
      </w:r>
      <w:proofErr w:type="spellEnd"/>
      <w:r w:rsidRPr="002211E1">
        <w:rPr>
          <w:b/>
        </w:rPr>
        <w:t xml:space="preserve"> </w:t>
      </w:r>
      <w:r w:rsidRPr="002211E1">
        <w:t>– степень достижения плановых значений целевых показателей (индикаторов);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proofErr w:type="spellStart"/>
      <w:r w:rsidRPr="002211E1">
        <w:rPr>
          <w:b/>
        </w:rPr>
        <w:t>СДцп</w:t>
      </w:r>
      <w:proofErr w:type="spellEnd"/>
      <w:r w:rsidRPr="002211E1">
        <w:rPr>
          <w:b/>
        </w:rPr>
        <w:t xml:space="preserve"> </w:t>
      </w:r>
      <w:r w:rsidRPr="002211E1">
        <w:t>– степень достижения планового значения целевого показателя (индикатора);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  <w:r w:rsidRPr="002211E1">
        <w:rPr>
          <w:b/>
          <w:lang w:val="en-US"/>
        </w:rPr>
        <w:t>N</w:t>
      </w:r>
      <w:r w:rsidRPr="002211E1">
        <w:rPr>
          <w:b/>
        </w:rPr>
        <w:t xml:space="preserve"> – </w:t>
      </w:r>
      <w:r w:rsidRPr="002211E1">
        <w:t>число целевых показателей (индикаторов);</w:t>
      </w:r>
    </w:p>
    <w:p w:rsidR="00C34F7E" w:rsidRPr="002211E1" w:rsidRDefault="00C34F7E" w:rsidP="005C16E1">
      <w:pPr>
        <w:pStyle w:val="ad"/>
        <w:tabs>
          <w:tab w:val="left" w:pos="1134"/>
        </w:tabs>
        <w:spacing w:before="0" w:beforeAutospacing="0" w:after="0" w:afterAutospacing="0"/>
        <w:ind w:left="720"/>
        <w:jc w:val="both"/>
      </w:pPr>
    </w:p>
    <w:p w:rsidR="00C34F7E" w:rsidRPr="002211E1" w:rsidRDefault="00C34F7E" w:rsidP="005C16E1">
      <w:pPr>
        <w:tabs>
          <w:tab w:val="left" w:pos="1134"/>
        </w:tabs>
        <w:ind w:firstLine="357"/>
      </w:pPr>
      <w:r w:rsidRPr="002211E1">
        <w:t xml:space="preserve">В оценке степени достижения плановых значений целевых показателей учтено </w:t>
      </w:r>
      <w:r w:rsidR="00A322F6" w:rsidRPr="002211E1">
        <w:rPr>
          <w:b/>
        </w:rPr>
        <w:t>3</w:t>
      </w:r>
      <w:r w:rsidR="00AB632C" w:rsidRPr="002211E1">
        <w:rPr>
          <w:b/>
        </w:rPr>
        <w:t>6</w:t>
      </w:r>
      <w:r w:rsidR="00EC545B" w:rsidRPr="002211E1">
        <w:rPr>
          <w:b/>
        </w:rPr>
        <w:t xml:space="preserve"> </w:t>
      </w:r>
      <w:r w:rsidRPr="002211E1">
        <w:t xml:space="preserve">показателей. 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  <w:r w:rsidRPr="002211E1">
        <w:t>Степень достижения плановых значений целевых показателей (индикаторов) в Программе составила: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284"/>
        <w:jc w:val="center"/>
        <w:rPr>
          <w:color w:val="000000"/>
        </w:rPr>
      </w:pPr>
      <w:proofErr w:type="spellStart"/>
      <w:r w:rsidRPr="002211E1">
        <w:rPr>
          <w:b/>
        </w:rPr>
        <w:t>СДг</w:t>
      </w:r>
      <w:proofErr w:type="spellEnd"/>
      <w:r w:rsidRPr="002211E1">
        <w:rPr>
          <w:b/>
        </w:rPr>
        <w:t>/</w:t>
      </w:r>
      <w:proofErr w:type="spellStart"/>
      <w:proofErr w:type="gramStart"/>
      <w:r w:rsidRPr="002211E1">
        <w:rPr>
          <w:b/>
        </w:rPr>
        <w:t>п</w:t>
      </w:r>
      <w:proofErr w:type="spellEnd"/>
      <w:proofErr w:type="gramEnd"/>
      <w:r w:rsidRPr="002211E1">
        <w:t xml:space="preserve"> = </w:t>
      </w:r>
      <w:r w:rsidR="00AB632C" w:rsidRPr="002211E1">
        <w:t>35,674</w:t>
      </w:r>
      <w:r w:rsidR="008142E2" w:rsidRPr="002211E1">
        <w:t xml:space="preserve">/ </w:t>
      </w:r>
      <w:r w:rsidR="00621D83" w:rsidRPr="002211E1">
        <w:t>3</w:t>
      </w:r>
      <w:r w:rsidR="00AB632C" w:rsidRPr="002211E1">
        <w:t>6</w:t>
      </w:r>
      <w:r w:rsidRPr="002211E1">
        <w:rPr>
          <w:color w:val="000000"/>
        </w:rPr>
        <w:t xml:space="preserve"> = </w:t>
      </w:r>
      <w:r w:rsidR="008142E2" w:rsidRPr="002211E1">
        <w:rPr>
          <w:b/>
          <w:color w:val="000000"/>
        </w:rPr>
        <w:t>0,</w:t>
      </w:r>
      <w:r w:rsidR="00AB632C" w:rsidRPr="002211E1">
        <w:rPr>
          <w:b/>
          <w:color w:val="000000"/>
        </w:rPr>
        <w:t>991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color w:val="000000"/>
        </w:rPr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color w:val="000000"/>
        </w:rPr>
      </w:pPr>
    </w:p>
    <w:p w:rsidR="00C34F7E" w:rsidRPr="002211E1" w:rsidRDefault="00C34F7E" w:rsidP="005C16E1">
      <w:pPr>
        <w:numPr>
          <w:ilvl w:val="0"/>
          <w:numId w:val="18"/>
        </w:numPr>
        <w:tabs>
          <w:tab w:val="left" w:pos="1134"/>
        </w:tabs>
        <w:contextualSpacing/>
        <w:jc w:val="both"/>
        <w:rPr>
          <w:rFonts w:eastAsia="Calibri"/>
          <w:b/>
        </w:rPr>
      </w:pPr>
      <w:r w:rsidRPr="002211E1">
        <w:rPr>
          <w:rFonts w:eastAsia="Calibri"/>
          <w:b/>
        </w:rPr>
        <w:t>Степень реализации мероприятий Программы определяется по следующей формуле:</w:t>
      </w:r>
    </w:p>
    <w:p w:rsidR="00C34F7E" w:rsidRPr="002211E1" w:rsidRDefault="00C34F7E" w:rsidP="005C16E1">
      <w:pPr>
        <w:tabs>
          <w:tab w:val="left" w:pos="1134"/>
        </w:tabs>
        <w:ind w:firstLine="357"/>
        <w:jc w:val="both"/>
      </w:pPr>
    </w:p>
    <w:p w:rsidR="00C34F7E" w:rsidRPr="002211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proofErr w:type="spellStart"/>
      <w:r w:rsidRPr="002211E1">
        <w:rPr>
          <w:b/>
        </w:rPr>
        <w:t>СР</w:t>
      </w:r>
      <w:r w:rsidRPr="002211E1">
        <w:rPr>
          <w:b/>
          <w:vertAlign w:val="subscript"/>
        </w:rPr>
        <w:t>м</w:t>
      </w:r>
      <w:proofErr w:type="spellEnd"/>
      <w:r w:rsidRPr="002211E1">
        <w:rPr>
          <w:b/>
        </w:rPr>
        <w:t xml:space="preserve"> = </w:t>
      </w:r>
      <w:proofErr w:type="spellStart"/>
      <w:r w:rsidRPr="002211E1">
        <w:rPr>
          <w:b/>
        </w:rPr>
        <w:t>М</w:t>
      </w:r>
      <w:r w:rsidRPr="002211E1">
        <w:rPr>
          <w:b/>
          <w:vertAlign w:val="subscript"/>
        </w:rPr>
        <w:t>в</w:t>
      </w:r>
      <w:proofErr w:type="spellEnd"/>
      <w:r w:rsidRPr="002211E1">
        <w:rPr>
          <w:b/>
        </w:rPr>
        <w:t xml:space="preserve"> / М,</w:t>
      </w:r>
    </w:p>
    <w:p w:rsidR="00C34F7E" w:rsidRPr="002211E1" w:rsidRDefault="00C34F7E" w:rsidP="005C16E1">
      <w:pPr>
        <w:tabs>
          <w:tab w:val="left" w:pos="1134"/>
        </w:tabs>
        <w:ind w:firstLine="357"/>
        <w:jc w:val="center"/>
        <w:rPr>
          <w:b/>
        </w:rPr>
      </w:pPr>
    </w:p>
    <w:p w:rsidR="0055018D" w:rsidRPr="002211E1" w:rsidRDefault="00C34F7E" w:rsidP="005C16E1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2211E1">
        <w:t>где</w:t>
      </w:r>
      <w:r w:rsidRPr="002211E1">
        <w:rPr>
          <w:b/>
        </w:rPr>
        <w:t xml:space="preserve"> </w:t>
      </w:r>
      <w:proofErr w:type="spellStart"/>
      <w:r w:rsidRPr="002211E1">
        <w:rPr>
          <w:b/>
        </w:rPr>
        <w:t>М</w:t>
      </w:r>
      <w:r w:rsidRPr="002211E1">
        <w:rPr>
          <w:b/>
          <w:vertAlign w:val="subscript"/>
        </w:rPr>
        <w:t>в</w:t>
      </w:r>
      <w:proofErr w:type="spellEnd"/>
      <w:r w:rsidRPr="002211E1">
        <w:rPr>
          <w:b/>
          <w:vertAlign w:val="subscript"/>
        </w:rPr>
        <w:t xml:space="preserve"> </w:t>
      </w:r>
      <w:r w:rsidRPr="002211E1">
        <w:t xml:space="preserve">– количество мероприятий, выполненных в отчётном году, </w:t>
      </w:r>
      <w:proofErr w:type="spellStart"/>
      <w:r w:rsidRPr="002211E1">
        <w:rPr>
          <w:b/>
        </w:rPr>
        <w:t>М</w:t>
      </w:r>
      <w:r w:rsidRPr="002211E1">
        <w:rPr>
          <w:b/>
          <w:vertAlign w:val="subscript"/>
        </w:rPr>
        <w:t>в</w:t>
      </w:r>
      <w:proofErr w:type="spellEnd"/>
      <w:r w:rsidRPr="002211E1">
        <w:rPr>
          <w:b/>
          <w:vertAlign w:val="subscript"/>
        </w:rPr>
        <w:t xml:space="preserve"> </w:t>
      </w:r>
      <w:r w:rsidRPr="002211E1">
        <w:rPr>
          <w:b/>
        </w:rPr>
        <w:t xml:space="preserve">= </w:t>
      </w:r>
      <w:r w:rsidR="00D20F0D">
        <w:rPr>
          <w:b/>
        </w:rPr>
        <w:t>3</w:t>
      </w:r>
      <w:r w:rsidR="004F233C">
        <w:rPr>
          <w:b/>
        </w:rPr>
        <w:t>6</w:t>
      </w:r>
      <w:r w:rsidRPr="00932BEE">
        <w:t>;</w:t>
      </w:r>
      <w:r w:rsidR="0055018D" w:rsidRPr="002211E1">
        <w:t xml:space="preserve"> </w:t>
      </w:r>
      <w:proofErr w:type="gramEnd"/>
    </w:p>
    <w:p w:rsidR="00C34F7E" w:rsidRPr="002211E1" w:rsidRDefault="0055018D" w:rsidP="005C16E1">
      <w:pPr>
        <w:tabs>
          <w:tab w:val="left" w:pos="1134"/>
        </w:tabs>
        <w:ind w:firstLine="357"/>
        <w:jc w:val="both"/>
        <w:rPr>
          <w:b/>
        </w:rPr>
      </w:pPr>
      <w:r w:rsidRPr="002211E1">
        <w:rPr>
          <w:b/>
        </w:rPr>
        <w:tab/>
      </w:r>
      <w:proofErr w:type="gramStart"/>
      <w:r w:rsidR="00C34F7E" w:rsidRPr="002211E1">
        <w:rPr>
          <w:b/>
        </w:rPr>
        <w:t xml:space="preserve">М </w:t>
      </w:r>
      <w:r w:rsidR="00C34F7E" w:rsidRPr="002211E1">
        <w:t xml:space="preserve">– общее количество мероприятий, запланированных к реализации в отчётном году, </w:t>
      </w:r>
      <w:r w:rsidR="00C34F7E" w:rsidRPr="002211E1">
        <w:rPr>
          <w:b/>
        </w:rPr>
        <w:t xml:space="preserve">М = </w:t>
      </w:r>
      <w:r w:rsidR="00D20F0D">
        <w:rPr>
          <w:b/>
        </w:rPr>
        <w:t>37</w:t>
      </w:r>
      <w:proofErr w:type="gramEnd"/>
    </w:p>
    <w:p w:rsidR="0055018D" w:rsidRPr="002211E1" w:rsidRDefault="00090CD3" w:rsidP="005C16E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211E1">
        <w:t xml:space="preserve">(в расчете не учтено мероприятие 32.3.02 </w:t>
      </w:r>
      <w:r w:rsidR="009B20A9" w:rsidRPr="002211E1">
        <w:t xml:space="preserve">«Информирование исполнительных органов государственной власти Удмуртской Республики об утверждении федеральными органами исполнительной власти типовых отраслевых норм труда» </w:t>
      </w:r>
      <w:r w:rsidRPr="002211E1">
        <w:t xml:space="preserve">ввиду </w:t>
      </w:r>
      <w:r w:rsidR="009B20A9" w:rsidRPr="002211E1">
        <w:t>того, что за 201</w:t>
      </w:r>
      <w:r w:rsidR="00932BEE">
        <w:t>9</w:t>
      </w:r>
      <w:r w:rsidR="009B20A9" w:rsidRPr="002211E1">
        <w:t xml:space="preserve"> год федеральными органами исполнительной власти типовые отраслевые нормы труда не разработаны, </w:t>
      </w:r>
      <w:proofErr w:type="gramStart"/>
      <w:r w:rsidR="009B20A9" w:rsidRPr="002211E1">
        <w:t>следовательно</w:t>
      </w:r>
      <w:proofErr w:type="gramEnd"/>
      <w:r w:rsidR="009B20A9" w:rsidRPr="002211E1">
        <w:t xml:space="preserve"> размещение информации на сайте Министерства не требуется</w:t>
      </w:r>
      <w:r w:rsidR="0055018D" w:rsidRPr="002211E1">
        <w:rPr>
          <w:color w:val="000000"/>
        </w:rPr>
        <w:t>)</w:t>
      </w:r>
    </w:p>
    <w:p w:rsidR="00207F64" w:rsidRPr="002211E1" w:rsidRDefault="00207F64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proofErr w:type="spellStart"/>
      <w:r w:rsidRPr="00D20F0D">
        <w:rPr>
          <w:b/>
        </w:rPr>
        <w:t>СР</w:t>
      </w:r>
      <w:r w:rsidRPr="00D20F0D">
        <w:rPr>
          <w:b/>
          <w:vertAlign w:val="subscript"/>
        </w:rPr>
        <w:t>м</w:t>
      </w:r>
      <w:proofErr w:type="spellEnd"/>
      <w:r w:rsidRPr="00D20F0D">
        <w:rPr>
          <w:b/>
        </w:rPr>
        <w:t xml:space="preserve"> = </w:t>
      </w:r>
      <w:r w:rsidR="004F233C">
        <w:t>36</w:t>
      </w:r>
      <w:r w:rsidR="00B07DB8">
        <w:t>/37</w:t>
      </w:r>
      <w:r w:rsidR="001F7C36" w:rsidRPr="00D20F0D">
        <w:t xml:space="preserve"> </w:t>
      </w:r>
      <w:r w:rsidRPr="00D20F0D">
        <w:rPr>
          <w:b/>
        </w:rPr>
        <w:t xml:space="preserve">= </w:t>
      </w:r>
      <w:r w:rsidR="00B07DB8">
        <w:rPr>
          <w:b/>
        </w:rPr>
        <w:t>0,9</w:t>
      </w:r>
      <w:r w:rsidR="004F233C">
        <w:rPr>
          <w:b/>
        </w:rPr>
        <w:t>73</w:t>
      </w:r>
    </w:p>
    <w:p w:rsidR="001F7C36" w:rsidRPr="005C16E1" w:rsidRDefault="001F7C36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Степень соответствия запланированному уровню расходов Программы за счёт средств бюджета Удмуртской Республики в целом определяется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</w:rPr>
      </w:pPr>
      <w:proofErr w:type="spellStart"/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proofErr w:type="spellEnd"/>
      <w:r w:rsidRPr="005C16E1">
        <w:rPr>
          <w:b/>
        </w:rPr>
        <w:t xml:space="preserve"> = </w:t>
      </w:r>
      <w:proofErr w:type="spellStart"/>
      <w:r w:rsidRPr="005C16E1">
        <w:rPr>
          <w:b/>
        </w:rPr>
        <w:t>Р</w:t>
      </w:r>
      <w:r w:rsidRPr="005C16E1">
        <w:rPr>
          <w:b/>
          <w:vertAlign w:val="subscript"/>
        </w:rPr>
        <w:t>ф</w:t>
      </w:r>
      <w:proofErr w:type="spellEnd"/>
      <w:r w:rsidRPr="005C16E1">
        <w:rPr>
          <w:b/>
        </w:rPr>
        <w:t xml:space="preserve"> / </w:t>
      </w:r>
      <w:proofErr w:type="spellStart"/>
      <w:r w:rsidRPr="005C16E1">
        <w:rPr>
          <w:b/>
        </w:rPr>
        <w:t>Р</w:t>
      </w:r>
      <w:r w:rsidRPr="005C16E1">
        <w:rPr>
          <w:b/>
          <w:vertAlign w:val="subscript"/>
        </w:rPr>
        <w:t>п</w:t>
      </w:r>
      <w:proofErr w:type="spellEnd"/>
      <w:r w:rsidRPr="005C16E1">
        <w:rPr>
          <w:b/>
          <w:vertAlign w:val="subscript"/>
        </w:rPr>
        <w:t xml:space="preserve">, 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r w:rsidRPr="005C16E1">
        <w:t xml:space="preserve">где </w:t>
      </w:r>
      <w:proofErr w:type="gramStart"/>
      <w:r w:rsidRPr="005C16E1">
        <w:rPr>
          <w:b/>
        </w:rPr>
        <w:t>Р</w:t>
      </w:r>
      <w:proofErr w:type="gramEnd"/>
      <w:r w:rsidRPr="005C16E1">
        <w:rPr>
          <w:b/>
          <w:vertAlign w:val="subscript"/>
        </w:rPr>
        <w:t xml:space="preserve"> </w:t>
      </w:r>
      <w:proofErr w:type="spellStart"/>
      <w:r w:rsidRPr="005C16E1">
        <w:rPr>
          <w:b/>
          <w:vertAlign w:val="subscript"/>
        </w:rPr>
        <w:t>ф</w:t>
      </w:r>
      <w:proofErr w:type="spellEnd"/>
      <w:r w:rsidRPr="005C16E1">
        <w:t xml:space="preserve"> – фактические расходы на реализацию Программы в 201</w:t>
      </w:r>
      <w:r w:rsidR="002211E1">
        <w:t>9</w:t>
      </w:r>
      <w:r w:rsidRPr="005C16E1">
        <w:t xml:space="preserve"> году за счёт средств бюджета Удмуртской Республики составляют </w:t>
      </w:r>
      <w:r w:rsidR="002211E1">
        <w:t xml:space="preserve"> </w:t>
      </w:r>
      <w:r w:rsidR="002211E1">
        <w:rPr>
          <w:b/>
        </w:rPr>
        <w:t>1 009 516,5</w:t>
      </w:r>
      <w:r w:rsidRPr="005C16E1">
        <w:rPr>
          <w:b/>
        </w:rPr>
        <w:t xml:space="preserve"> тыс. рублей</w:t>
      </w:r>
      <w:r w:rsidRPr="005C16E1">
        <w:t>;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proofErr w:type="spellStart"/>
      <w:r w:rsidRPr="005C16E1">
        <w:rPr>
          <w:b/>
        </w:rPr>
        <w:t>Р</w:t>
      </w:r>
      <w:r w:rsidRPr="005C16E1">
        <w:rPr>
          <w:b/>
          <w:vertAlign w:val="subscript"/>
        </w:rPr>
        <w:t>п</w:t>
      </w:r>
      <w:proofErr w:type="spellEnd"/>
      <w:r w:rsidRPr="005C16E1">
        <w:t xml:space="preserve"> – плановые расходы на реализацию Программы в 201</w:t>
      </w:r>
      <w:r w:rsidR="002211E1">
        <w:t>9</w:t>
      </w:r>
      <w:r w:rsidR="00207F64" w:rsidRPr="005C16E1">
        <w:t xml:space="preserve"> </w:t>
      </w:r>
      <w:r w:rsidRPr="005C16E1">
        <w:t>году за счёт средств бюджета Удмуртской Республики составля</w:t>
      </w:r>
      <w:r w:rsidR="00AE23B3" w:rsidRPr="005C16E1">
        <w:t>ю</w:t>
      </w:r>
      <w:r w:rsidRPr="005C16E1">
        <w:t xml:space="preserve">т </w:t>
      </w:r>
      <w:r w:rsidR="002211E1">
        <w:t xml:space="preserve">                       </w:t>
      </w:r>
      <w:r w:rsidR="002211E1">
        <w:rPr>
          <w:b/>
        </w:rPr>
        <w:t xml:space="preserve">1 013 137,5 </w:t>
      </w:r>
      <w:r w:rsidRPr="005C16E1">
        <w:rPr>
          <w:b/>
        </w:rPr>
        <w:t xml:space="preserve"> тыс. рублей</w:t>
      </w:r>
      <w:r w:rsidRPr="005C16E1">
        <w:t>;</w:t>
      </w:r>
    </w:p>
    <w:p w:rsidR="00F44D66" w:rsidRPr="005C16E1" w:rsidRDefault="00F44D66" w:rsidP="005C16E1">
      <w:pPr>
        <w:autoSpaceDE w:val="0"/>
        <w:autoSpaceDN w:val="0"/>
        <w:adjustRightInd w:val="0"/>
        <w:ind w:firstLine="540"/>
        <w:jc w:val="both"/>
      </w:pPr>
      <w:r w:rsidRPr="005C16E1">
        <w:lastRenderedPageBreak/>
        <w:t>В случае если фактические расходы на реализацию государственной программы (отдельной подпрограммы) в отчетном году меньше плановых расходов на реализацию государственной программы (отдельной подпрограммы) в отчетном году, степень соответствия запланированному уровню расходов принимается равной единице</w:t>
      </w:r>
    </w:p>
    <w:p w:rsidR="00C34F7E" w:rsidRPr="005C16E1" w:rsidRDefault="00C34F7E" w:rsidP="005C16E1">
      <w:pPr>
        <w:tabs>
          <w:tab w:val="left" w:pos="1134"/>
        </w:tabs>
        <w:ind w:firstLine="357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  <w:proofErr w:type="spellStart"/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proofErr w:type="spellEnd"/>
      <w:r w:rsidRPr="005C16E1">
        <w:rPr>
          <w:b/>
        </w:rPr>
        <w:t xml:space="preserve"> = </w:t>
      </w:r>
      <w:r w:rsidR="002211E1">
        <w:rPr>
          <w:b/>
        </w:rPr>
        <w:t>1 009 516,5</w:t>
      </w:r>
      <w:r w:rsidR="00F44D66" w:rsidRPr="005C16E1">
        <w:rPr>
          <w:b/>
        </w:rPr>
        <w:t xml:space="preserve"> /</w:t>
      </w:r>
      <w:r w:rsidR="002211E1">
        <w:rPr>
          <w:b/>
        </w:rPr>
        <w:t>1 013 137,5</w:t>
      </w:r>
      <w:r w:rsidR="00F44D66" w:rsidRPr="005C16E1">
        <w:rPr>
          <w:b/>
        </w:rPr>
        <w:t xml:space="preserve"> =</w:t>
      </w:r>
      <w:r w:rsidRPr="005C16E1">
        <w:rPr>
          <w:b/>
        </w:rPr>
        <w:t>1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Эффективность использования средств бюджета Удмуртской Республики при реализации Программы оценивается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</w:pP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  <w:proofErr w:type="spellStart"/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proofErr w:type="spellEnd"/>
      <w:r w:rsidRPr="005C16E1">
        <w:rPr>
          <w:b/>
        </w:rPr>
        <w:t xml:space="preserve"> = </w:t>
      </w:r>
      <w:proofErr w:type="spellStart"/>
      <w:r w:rsidRPr="005C16E1">
        <w:rPr>
          <w:b/>
        </w:rPr>
        <w:t>СР</w:t>
      </w:r>
      <w:r w:rsidRPr="005C16E1">
        <w:rPr>
          <w:b/>
          <w:vertAlign w:val="subscript"/>
        </w:rPr>
        <w:t>м</w:t>
      </w:r>
      <w:proofErr w:type="spellEnd"/>
      <w:r w:rsidRPr="005C16E1">
        <w:rPr>
          <w:b/>
        </w:rPr>
        <w:t xml:space="preserve"> / </w:t>
      </w:r>
      <w:proofErr w:type="spellStart"/>
      <w:r w:rsidRPr="005C16E1">
        <w:rPr>
          <w:b/>
        </w:rPr>
        <w:t>СС</w:t>
      </w:r>
      <w:r w:rsidRPr="005C16E1">
        <w:rPr>
          <w:b/>
          <w:vertAlign w:val="subscript"/>
        </w:rPr>
        <w:t>ур</w:t>
      </w:r>
      <w:proofErr w:type="spellEnd"/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  <w:r w:rsidRPr="005C16E1">
        <w:t xml:space="preserve">и составляет  </w:t>
      </w:r>
      <w:proofErr w:type="spellStart"/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proofErr w:type="spellEnd"/>
      <w:r w:rsidRPr="005C16E1">
        <w:rPr>
          <w:b/>
        </w:rPr>
        <w:t xml:space="preserve"> </w:t>
      </w:r>
      <w:r w:rsidRPr="005C16E1">
        <w:t xml:space="preserve">= </w:t>
      </w:r>
      <w:r w:rsidR="00C51B12" w:rsidRPr="00D20F0D">
        <w:t>0,9</w:t>
      </w:r>
      <w:r w:rsidR="004F233C">
        <w:t>73</w:t>
      </w:r>
      <w:r w:rsidRPr="00D20F0D">
        <w:t>/1 =</w:t>
      </w:r>
      <w:r w:rsidRPr="00D20F0D">
        <w:rPr>
          <w:b/>
        </w:rPr>
        <w:t xml:space="preserve"> </w:t>
      </w:r>
      <w:r w:rsidR="00C51B12" w:rsidRPr="00D20F0D">
        <w:rPr>
          <w:b/>
        </w:rPr>
        <w:t>0,</w:t>
      </w:r>
      <w:r w:rsidR="00D20F0D">
        <w:rPr>
          <w:b/>
        </w:rPr>
        <w:t>9</w:t>
      </w:r>
      <w:r w:rsidR="004F233C">
        <w:rPr>
          <w:b/>
        </w:rPr>
        <w:t>73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C34F7E" w:rsidRPr="005C16E1" w:rsidRDefault="00C34F7E" w:rsidP="005C16E1">
      <w:pPr>
        <w:numPr>
          <w:ilvl w:val="0"/>
          <w:numId w:val="18"/>
        </w:numPr>
        <w:tabs>
          <w:tab w:val="left" w:pos="1134"/>
        </w:tabs>
        <w:jc w:val="both"/>
        <w:rPr>
          <w:b/>
        </w:rPr>
      </w:pPr>
      <w:r w:rsidRPr="005C16E1">
        <w:rPr>
          <w:b/>
        </w:rPr>
        <w:t>Эффективность реализации Программы определяется по следующей формуле:</w:t>
      </w:r>
    </w:p>
    <w:p w:rsidR="00C34F7E" w:rsidRPr="005C16E1" w:rsidRDefault="00C34F7E" w:rsidP="005C16E1">
      <w:pPr>
        <w:tabs>
          <w:tab w:val="left" w:pos="1134"/>
        </w:tabs>
        <w:ind w:firstLine="357"/>
        <w:jc w:val="both"/>
      </w:pPr>
    </w:p>
    <w:p w:rsidR="00C34F7E" w:rsidRDefault="00C34F7E" w:rsidP="005C16E1">
      <w:pPr>
        <w:tabs>
          <w:tab w:val="left" w:pos="1134"/>
        </w:tabs>
        <w:ind w:firstLine="357"/>
        <w:jc w:val="center"/>
        <w:rPr>
          <w:b/>
          <w:vertAlign w:val="subscript"/>
        </w:rPr>
      </w:pPr>
      <w:proofErr w:type="spellStart"/>
      <w:r w:rsidRPr="005C16E1">
        <w:rPr>
          <w:b/>
        </w:rPr>
        <w:t>ЭР</w:t>
      </w:r>
      <w:r w:rsidRPr="005C16E1">
        <w:rPr>
          <w:b/>
          <w:vertAlign w:val="subscript"/>
        </w:rPr>
        <w:t>г</w:t>
      </w:r>
      <w:proofErr w:type="spellEnd"/>
      <w:r w:rsidRPr="005C16E1">
        <w:rPr>
          <w:b/>
          <w:vertAlign w:val="subscript"/>
        </w:rPr>
        <w:t>/</w:t>
      </w:r>
      <w:proofErr w:type="spellStart"/>
      <w:proofErr w:type="gramStart"/>
      <w:r w:rsidRPr="005C16E1">
        <w:rPr>
          <w:b/>
          <w:vertAlign w:val="subscript"/>
        </w:rPr>
        <w:t>п</w:t>
      </w:r>
      <w:proofErr w:type="spellEnd"/>
      <w:proofErr w:type="gramEnd"/>
      <w:r w:rsidRPr="005C16E1">
        <w:rPr>
          <w:b/>
        </w:rPr>
        <w:t xml:space="preserve"> = </w:t>
      </w:r>
      <w:proofErr w:type="spellStart"/>
      <w:r w:rsidRPr="005C16E1">
        <w:rPr>
          <w:b/>
        </w:rPr>
        <w:t>СД</w:t>
      </w:r>
      <w:r w:rsidRPr="005C16E1">
        <w:rPr>
          <w:b/>
          <w:vertAlign w:val="subscript"/>
        </w:rPr>
        <w:t>г</w:t>
      </w:r>
      <w:proofErr w:type="spellEnd"/>
      <w:r w:rsidRPr="005C16E1">
        <w:rPr>
          <w:b/>
          <w:vertAlign w:val="subscript"/>
        </w:rPr>
        <w:t>/</w:t>
      </w:r>
      <w:proofErr w:type="spellStart"/>
      <w:r w:rsidRPr="005C16E1">
        <w:rPr>
          <w:b/>
          <w:vertAlign w:val="subscript"/>
        </w:rPr>
        <w:t>п</w:t>
      </w:r>
      <w:proofErr w:type="spellEnd"/>
      <w:r w:rsidRPr="005C16E1">
        <w:rPr>
          <w:b/>
          <w:vertAlign w:val="subscript"/>
        </w:rPr>
        <w:t xml:space="preserve"> </w:t>
      </w:r>
      <w:proofErr w:type="spellStart"/>
      <w:r w:rsidRPr="005C16E1">
        <w:rPr>
          <w:b/>
        </w:rPr>
        <w:t>х</w:t>
      </w:r>
      <w:proofErr w:type="spellEnd"/>
      <w:r w:rsidRPr="005C16E1">
        <w:rPr>
          <w:b/>
        </w:rPr>
        <w:t xml:space="preserve"> </w:t>
      </w:r>
      <w:proofErr w:type="spellStart"/>
      <w:r w:rsidRPr="005C16E1">
        <w:rPr>
          <w:b/>
        </w:rPr>
        <w:t>Э</w:t>
      </w:r>
      <w:r w:rsidRPr="005C16E1">
        <w:rPr>
          <w:b/>
          <w:vertAlign w:val="subscript"/>
        </w:rPr>
        <w:t>ис</w:t>
      </w:r>
      <w:proofErr w:type="spellEnd"/>
      <w:r w:rsidRPr="005C16E1">
        <w:rPr>
          <w:b/>
          <w:vertAlign w:val="subscript"/>
        </w:rPr>
        <w:t xml:space="preserve">, </w:t>
      </w:r>
      <w:bookmarkStart w:id="7" w:name="_GoBack"/>
      <w:bookmarkEnd w:id="7"/>
    </w:p>
    <w:p w:rsidR="00C34F7E" w:rsidRPr="005C16E1" w:rsidRDefault="00C34F7E" w:rsidP="005C16E1">
      <w:pPr>
        <w:tabs>
          <w:tab w:val="left" w:pos="1134"/>
        </w:tabs>
        <w:ind w:firstLine="357"/>
        <w:jc w:val="center"/>
        <w:rPr>
          <w:b/>
          <w:vertAlign w:val="subscript"/>
        </w:rPr>
      </w:pPr>
    </w:p>
    <w:p w:rsidR="00C34F7E" w:rsidRDefault="000A0A66" w:rsidP="005C16E1">
      <w:pPr>
        <w:tabs>
          <w:tab w:val="left" w:pos="1134"/>
        </w:tabs>
        <w:ind w:firstLine="357"/>
        <w:jc w:val="center"/>
        <w:rPr>
          <w:b/>
        </w:rPr>
      </w:pPr>
      <w:r w:rsidRPr="005C16E1">
        <w:t xml:space="preserve">и составляет </w:t>
      </w:r>
      <w:proofErr w:type="spellStart"/>
      <w:r w:rsidR="00C34F7E" w:rsidRPr="005C16E1">
        <w:rPr>
          <w:b/>
        </w:rPr>
        <w:t>ЭР</w:t>
      </w:r>
      <w:r w:rsidR="00C34F7E" w:rsidRPr="005C16E1">
        <w:rPr>
          <w:b/>
          <w:vertAlign w:val="subscript"/>
        </w:rPr>
        <w:t>г</w:t>
      </w:r>
      <w:proofErr w:type="spellEnd"/>
      <w:r w:rsidR="00C34F7E" w:rsidRPr="005C16E1">
        <w:rPr>
          <w:b/>
          <w:vertAlign w:val="subscript"/>
        </w:rPr>
        <w:t>/</w:t>
      </w:r>
      <w:proofErr w:type="spellStart"/>
      <w:proofErr w:type="gramStart"/>
      <w:r w:rsidR="00C34F7E" w:rsidRPr="005C16E1">
        <w:rPr>
          <w:b/>
          <w:vertAlign w:val="subscript"/>
        </w:rPr>
        <w:t>п</w:t>
      </w:r>
      <w:proofErr w:type="spellEnd"/>
      <w:proofErr w:type="gramEnd"/>
      <w:r w:rsidR="00C34F7E" w:rsidRPr="005C16E1">
        <w:rPr>
          <w:b/>
          <w:vertAlign w:val="subscript"/>
        </w:rPr>
        <w:t xml:space="preserve"> </w:t>
      </w:r>
      <w:r w:rsidR="00C34F7E" w:rsidRPr="005C16E1">
        <w:rPr>
          <w:b/>
        </w:rPr>
        <w:t xml:space="preserve">= </w:t>
      </w:r>
      <w:r w:rsidR="00266343" w:rsidRPr="00D20F0D">
        <w:t>0,9</w:t>
      </w:r>
      <w:r w:rsidR="002211E1" w:rsidRPr="00D20F0D">
        <w:t>91</w:t>
      </w:r>
      <w:r w:rsidR="00621D83" w:rsidRPr="00D20F0D">
        <w:t xml:space="preserve"> </w:t>
      </w:r>
      <w:proofErr w:type="spellStart"/>
      <w:r w:rsidR="00C34F7E" w:rsidRPr="00D20F0D">
        <w:t>х</w:t>
      </w:r>
      <w:proofErr w:type="spellEnd"/>
      <w:r w:rsidR="00C34F7E" w:rsidRPr="00D20F0D">
        <w:t xml:space="preserve"> </w:t>
      </w:r>
      <w:r w:rsidR="00D20F0D" w:rsidRPr="00D20F0D">
        <w:t>0,</w:t>
      </w:r>
      <w:r w:rsidR="004F233C">
        <w:t>973</w:t>
      </w:r>
      <w:r w:rsidR="00C34F7E" w:rsidRPr="00D20F0D">
        <w:rPr>
          <w:b/>
        </w:rPr>
        <w:t xml:space="preserve">= </w:t>
      </w:r>
      <w:r w:rsidR="00AE23B3" w:rsidRPr="00D20F0D">
        <w:rPr>
          <w:b/>
        </w:rPr>
        <w:t>0,</w:t>
      </w:r>
      <w:r w:rsidR="004F233C">
        <w:rPr>
          <w:b/>
        </w:rPr>
        <w:t>964</w:t>
      </w:r>
    </w:p>
    <w:p w:rsidR="00C34F7E" w:rsidRPr="005C16E1" w:rsidRDefault="00C34F7E" w:rsidP="005C16E1">
      <w:pPr>
        <w:tabs>
          <w:tab w:val="left" w:pos="1134"/>
        </w:tabs>
        <w:ind w:firstLine="357"/>
        <w:jc w:val="center"/>
      </w:pPr>
    </w:p>
    <w:p w:rsidR="00913BB6" w:rsidRDefault="00C34F7E" w:rsidP="002211E1">
      <w:pPr>
        <w:jc w:val="both"/>
        <w:rPr>
          <w:b/>
          <w:i/>
        </w:rPr>
      </w:pPr>
      <w:r w:rsidRPr="005C16E1">
        <w:rPr>
          <w:b/>
          <w:i/>
        </w:rPr>
        <w:t xml:space="preserve">Вывод: Эффективность реализации государственной программы признается </w:t>
      </w:r>
      <w:r w:rsidR="00E85616" w:rsidRPr="005C16E1">
        <w:rPr>
          <w:b/>
          <w:i/>
        </w:rPr>
        <w:t>высокой</w:t>
      </w:r>
      <w:r w:rsidR="000A0A66" w:rsidRPr="005C16E1">
        <w:rPr>
          <w:b/>
          <w:i/>
        </w:rPr>
        <w:t xml:space="preserve">, так как значение </w:t>
      </w:r>
      <w:proofErr w:type="spellStart"/>
      <w:r w:rsidRPr="005C16E1">
        <w:rPr>
          <w:b/>
          <w:i/>
        </w:rPr>
        <w:t>ЭР</w:t>
      </w:r>
      <w:r w:rsidRPr="005C16E1">
        <w:rPr>
          <w:b/>
          <w:i/>
          <w:vertAlign w:val="subscript"/>
        </w:rPr>
        <w:t>г</w:t>
      </w:r>
      <w:proofErr w:type="spellEnd"/>
      <w:r w:rsidRPr="005C16E1">
        <w:rPr>
          <w:b/>
          <w:i/>
          <w:vertAlign w:val="subscript"/>
        </w:rPr>
        <w:t>/</w:t>
      </w:r>
      <w:proofErr w:type="spellStart"/>
      <w:proofErr w:type="gramStart"/>
      <w:r w:rsidRPr="005C16E1">
        <w:rPr>
          <w:b/>
          <w:i/>
          <w:vertAlign w:val="subscript"/>
        </w:rPr>
        <w:t>п</w:t>
      </w:r>
      <w:proofErr w:type="spellEnd"/>
      <w:proofErr w:type="gramEnd"/>
      <w:r w:rsidRPr="005C16E1">
        <w:rPr>
          <w:b/>
          <w:i/>
        </w:rPr>
        <w:t xml:space="preserve"> составляет не менее </w:t>
      </w:r>
      <w:r w:rsidR="00AE23B3" w:rsidRPr="00D20F0D">
        <w:rPr>
          <w:b/>
          <w:i/>
        </w:rPr>
        <w:t>0,</w:t>
      </w:r>
      <w:r w:rsidR="00E85616" w:rsidRPr="00D20F0D">
        <w:rPr>
          <w:b/>
          <w:i/>
        </w:rPr>
        <w:t>9</w:t>
      </w:r>
    </w:p>
    <w:p w:rsidR="004F233C" w:rsidRDefault="004F233C" w:rsidP="002211E1">
      <w:pPr>
        <w:jc w:val="both"/>
        <w:rPr>
          <w:b/>
          <w:i/>
        </w:rPr>
      </w:pPr>
    </w:p>
    <w:p w:rsidR="004F233C" w:rsidRDefault="004F233C" w:rsidP="002211E1">
      <w:pPr>
        <w:jc w:val="both"/>
        <w:rPr>
          <w:b/>
          <w:i/>
        </w:rPr>
      </w:pPr>
    </w:p>
    <w:p w:rsidR="004F233C" w:rsidRDefault="004F233C" w:rsidP="002211E1">
      <w:pPr>
        <w:jc w:val="both"/>
        <w:rPr>
          <w:b/>
          <w:i/>
        </w:rPr>
      </w:pPr>
    </w:p>
    <w:p w:rsidR="004F233C" w:rsidRDefault="004F233C" w:rsidP="002211E1">
      <w:pPr>
        <w:jc w:val="both"/>
        <w:rPr>
          <w:b/>
          <w:i/>
        </w:rPr>
      </w:pPr>
    </w:p>
    <w:p w:rsidR="004F233C" w:rsidRPr="004F233C" w:rsidRDefault="004F233C" w:rsidP="002211E1">
      <w:pPr>
        <w:jc w:val="both"/>
        <w:rPr>
          <w:b/>
        </w:rPr>
      </w:pPr>
      <w:r w:rsidRPr="004F233C">
        <w:rPr>
          <w:b/>
        </w:rPr>
        <w:t xml:space="preserve">Первый заместитель министра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F233C">
        <w:rPr>
          <w:b/>
        </w:rPr>
        <w:t xml:space="preserve">О.В. </w:t>
      </w:r>
      <w:proofErr w:type="spellStart"/>
      <w:r w:rsidRPr="004F233C">
        <w:rPr>
          <w:b/>
        </w:rPr>
        <w:t>Лубнина</w:t>
      </w:r>
      <w:proofErr w:type="spellEnd"/>
    </w:p>
    <w:p w:rsidR="00913BB6" w:rsidRPr="001B13BC" w:rsidRDefault="00913BB6" w:rsidP="002211E1">
      <w:pPr>
        <w:jc w:val="both"/>
        <w:rPr>
          <w:sz w:val="16"/>
          <w:szCs w:val="16"/>
        </w:rPr>
      </w:pPr>
    </w:p>
    <w:sectPr w:rsidR="00913BB6" w:rsidRPr="001B13BC" w:rsidSect="004F233C">
      <w:pgSz w:w="16839" w:h="11907" w:orient="landscape" w:code="9"/>
      <w:pgMar w:top="851" w:right="680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A31" w:rsidRDefault="00240A31" w:rsidP="00EC2068">
      <w:r>
        <w:separator/>
      </w:r>
    </w:p>
  </w:endnote>
  <w:endnote w:type="continuationSeparator" w:id="0">
    <w:p w:rsidR="00240A31" w:rsidRDefault="00240A31" w:rsidP="00EC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A31" w:rsidRDefault="00240A31" w:rsidP="00EC2068">
      <w:r>
        <w:separator/>
      </w:r>
    </w:p>
  </w:footnote>
  <w:footnote w:type="continuationSeparator" w:id="0">
    <w:p w:rsidR="00240A31" w:rsidRDefault="00240A31" w:rsidP="00EC2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34F"/>
    <w:multiLevelType w:val="hybridMultilevel"/>
    <w:tmpl w:val="69C2A2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3311"/>
    <w:multiLevelType w:val="hybridMultilevel"/>
    <w:tmpl w:val="196E0958"/>
    <w:lvl w:ilvl="0" w:tplc="6364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F36400A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44ABA"/>
    <w:multiLevelType w:val="multilevel"/>
    <w:tmpl w:val="D156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3090410"/>
    <w:multiLevelType w:val="hybridMultilevel"/>
    <w:tmpl w:val="EEB05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65281"/>
    <w:multiLevelType w:val="multilevel"/>
    <w:tmpl w:val="7256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5D5591E"/>
    <w:multiLevelType w:val="hybridMultilevel"/>
    <w:tmpl w:val="40740400"/>
    <w:lvl w:ilvl="0" w:tplc="DB025BB2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8931C50"/>
    <w:multiLevelType w:val="hybridMultilevel"/>
    <w:tmpl w:val="372C1C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645F2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D44BE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66FD"/>
    <w:multiLevelType w:val="hybridMultilevel"/>
    <w:tmpl w:val="4A645E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C56377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F2863"/>
    <w:multiLevelType w:val="hybridMultilevel"/>
    <w:tmpl w:val="EE1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57E79"/>
    <w:multiLevelType w:val="hybridMultilevel"/>
    <w:tmpl w:val="BB043640"/>
    <w:lvl w:ilvl="0" w:tplc="041E6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F83492"/>
    <w:multiLevelType w:val="hybridMultilevel"/>
    <w:tmpl w:val="0FACA86E"/>
    <w:lvl w:ilvl="0" w:tplc="697C1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697D62"/>
    <w:multiLevelType w:val="hybridMultilevel"/>
    <w:tmpl w:val="A3A20F96"/>
    <w:lvl w:ilvl="0" w:tplc="2B98BFB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F1945D0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8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3"/>
  </w:num>
  <w:num w:numId="10">
    <w:abstractNumId w:val="17"/>
  </w:num>
  <w:num w:numId="11">
    <w:abstractNumId w:val="5"/>
  </w:num>
  <w:num w:numId="12">
    <w:abstractNumId w:val="12"/>
  </w:num>
  <w:num w:numId="13">
    <w:abstractNumId w:val="10"/>
  </w:num>
  <w:num w:numId="14">
    <w:abstractNumId w:val="6"/>
  </w:num>
  <w:num w:numId="15">
    <w:abstractNumId w:val="13"/>
  </w:num>
  <w:num w:numId="16">
    <w:abstractNumId w:val="1"/>
  </w:num>
  <w:num w:numId="17">
    <w:abstractNumId w:val="7"/>
  </w:num>
  <w:num w:numId="18">
    <w:abstractNumId w:val="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4E"/>
    <w:rsid w:val="00001EB4"/>
    <w:rsid w:val="00001F42"/>
    <w:rsid w:val="00007787"/>
    <w:rsid w:val="00010D61"/>
    <w:rsid w:val="00017C43"/>
    <w:rsid w:val="0002011F"/>
    <w:rsid w:val="00020A2B"/>
    <w:rsid w:val="00021750"/>
    <w:rsid w:val="00022681"/>
    <w:rsid w:val="000232F1"/>
    <w:rsid w:val="00024A31"/>
    <w:rsid w:val="00024CC4"/>
    <w:rsid w:val="00032871"/>
    <w:rsid w:val="00040BD4"/>
    <w:rsid w:val="0004320B"/>
    <w:rsid w:val="000445A7"/>
    <w:rsid w:val="00045003"/>
    <w:rsid w:val="00045635"/>
    <w:rsid w:val="00046CD5"/>
    <w:rsid w:val="00047EEB"/>
    <w:rsid w:val="00050706"/>
    <w:rsid w:val="00051F6C"/>
    <w:rsid w:val="00052596"/>
    <w:rsid w:val="000549EB"/>
    <w:rsid w:val="0005535E"/>
    <w:rsid w:val="00060AC1"/>
    <w:rsid w:val="00063403"/>
    <w:rsid w:val="0006399C"/>
    <w:rsid w:val="0006738C"/>
    <w:rsid w:val="00071152"/>
    <w:rsid w:val="000763A7"/>
    <w:rsid w:val="0008098C"/>
    <w:rsid w:val="0008300E"/>
    <w:rsid w:val="000852F2"/>
    <w:rsid w:val="00086037"/>
    <w:rsid w:val="000869E6"/>
    <w:rsid w:val="00090CD3"/>
    <w:rsid w:val="0009211C"/>
    <w:rsid w:val="000A0A66"/>
    <w:rsid w:val="000A3AF6"/>
    <w:rsid w:val="000A4657"/>
    <w:rsid w:val="000A49E0"/>
    <w:rsid w:val="000A4EAE"/>
    <w:rsid w:val="000A5867"/>
    <w:rsid w:val="000A5B3D"/>
    <w:rsid w:val="000A67AC"/>
    <w:rsid w:val="000B5F9F"/>
    <w:rsid w:val="000B7E72"/>
    <w:rsid w:val="000C18E5"/>
    <w:rsid w:val="000C1E51"/>
    <w:rsid w:val="000C5696"/>
    <w:rsid w:val="000C6731"/>
    <w:rsid w:val="000D1AF6"/>
    <w:rsid w:val="000D33DD"/>
    <w:rsid w:val="000D4FAA"/>
    <w:rsid w:val="000E25D2"/>
    <w:rsid w:val="000E3AE3"/>
    <w:rsid w:val="000F2519"/>
    <w:rsid w:val="000F6524"/>
    <w:rsid w:val="000F7693"/>
    <w:rsid w:val="00103701"/>
    <w:rsid w:val="0010779A"/>
    <w:rsid w:val="00107B81"/>
    <w:rsid w:val="0011441F"/>
    <w:rsid w:val="00115C52"/>
    <w:rsid w:val="00122117"/>
    <w:rsid w:val="00122886"/>
    <w:rsid w:val="00125FD5"/>
    <w:rsid w:val="0013113A"/>
    <w:rsid w:val="00131E00"/>
    <w:rsid w:val="00132995"/>
    <w:rsid w:val="001341AD"/>
    <w:rsid w:val="001353E1"/>
    <w:rsid w:val="001434D1"/>
    <w:rsid w:val="001447A8"/>
    <w:rsid w:val="0014607C"/>
    <w:rsid w:val="00151F21"/>
    <w:rsid w:val="001536EF"/>
    <w:rsid w:val="00157741"/>
    <w:rsid w:val="001656AE"/>
    <w:rsid w:val="00170780"/>
    <w:rsid w:val="00170AF8"/>
    <w:rsid w:val="00174FEA"/>
    <w:rsid w:val="0017700C"/>
    <w:rsid w:val="00177801"/>
    <w:rsid w:val="00180EC5"/>
    <w:rsid w:val="00182945"/>
    <w:rsid w:val="00182A41"/>
    <w:rsid w:val="00185759"/>
    <w:rsid w:val="00187A27"/>
    <w:rsid w:val="00192588"/>
    <w:rsid w:val="00194E1F"/>
    <w:rsid w:val="001A1776"/>
    <w:rsid w:val="001A55AC"/>
    <w:rsid w:val="001A56F0"/>
    <w:rsid w:val="001B0D29"/>
    <w:rsid w:val="001B13BC"/>
    <w:rsid w:val="001B25E7"/>
    <w:rsid w:val="001B3495"/>
    <w:rsid w:val="001B53A6"/>
    <w:rsid w:val="001B61CD"/>
    <w:rsid w:val="001B6EBE"/>
    <w:rsid w:val="001B750D"/>
    <w:rsid w:val="001C14F7"/>
    <w:rsid w:val="001C61DD"/>
    <w:rsid w:val="001C74DA"/>
    <w:rsid w:val="001C75C8"/>
    <w:rsid w:val="001D0A30"/>
    <w:rsid w:val="001D32DB"/>
    <w:rsid w:val="001D3F55"/>
    <w:rsid w:val="001D69F5"/>
    <w:rsid w:val="001D6D5D"/>
    <w:rsid w:val="001E049B"/>
    <w:rsid w:val="001E05B5"/>
    <w:rsid w:val="001E1278"/>
    <w:rsid w:val="001E318C"/>
    <w:rsid w:val="001E6D31"/>
    <w:rsid w:val="001F1BB7"/>
    <w:rsid w:val="001F34F1"/>
    <w:rsid w:val="001F6AA3"/>
    <w:rsid w:val="001F7C36"/>
    <w:rsid w:val="002016F6"/>
    <w:rsid w:val="002033CB"/>
    <w:rsid w:val="00207F64"/>
    <w:rsid w:val="002139DC"/>
    <w:rsid w:val="00213B91"/>
    <w:rsid w:val="002211E1"/>
    <w:rsid w:val="00221372"/>
    <w:rsid w:val="00222C24"/>
    <w:rsid w:val="002245F0"/>
    <w:rsid w:val="002258ED"/>
    <w:rsid w:val="00227020"/>
    <w:rsid w:val="00234FC5"/>
    <w:rsid w:val="0023501F"/>
    <w:rsid w:val="00235CC0"/>
    <w:rsid w:val="0023620A"/>
    <w:rsid w:val="00237047"/>
    <w:rsid w:val="00240A31"/>
    <w:rsid w:val="0024696B"/>
    <w:rsid w:val="00252C44"/>
    <w:rsid w:val="00253812"/>
    <w:rsid w:val="002547E3"/>
    <w:rsid w:val="002572D9"/>
    <w:rsid w:val="00257891"/>
    <w:rsid w:val="002608A0"/>
    <w:rsid w:val="002622E9"/>
    <w:rsid w:val="002630EC"/>
    <w:rsid w:val="00266343"/>
    <w:rsid w:val="00267623"/>
    <w:rsid w:val="0027000A"/>
    <w:rsid w:val="002704EE"/>
    <w:rsid w:val="002723E2"/>
    <w:rsid w:val="00274B09"/>
    <w:rsid w:val="00275123"/>
    <w:rsid w:val="00281EB4"/>
    <w:rsid w:val="0028207D"/>
    <w:rsid w:val="00283253"/>
    <w:rsid w:val="00291F8D"/>
    <w:rsid w:val="002A06AD"/>
    <w:rsid w:val="002A150F"/>
    <w:rsid w:val="002A4C1E"/>
    <w:rsid w:val="002A53A1"/>
    <w:rsid w:val="002B4263"/>
    <w:rsid w:val="002C012A"/>
    <w:rsid w:val="002C0460"/>
    <w:rsid w:val="002C07BF"/>
    <w:rsid w:val="002C15C8"/>
    <w:rsid w:val="002C6130"/>
    <w:rsid w:val="002D2BE2"/>
    <w:rsid w:val="002D46E2"/>
    <w:rsid w:val="002D67D6"/>
    <w:rsid w:val="002E447A"/>
    <w:rsid w:val="002E45E7"/>
    <w:rsid w:val="002E4EC6"/>
    <w:rsid w:val="002E6AD4"/>
    <w:rsid w:val="002F0671"/>
    <w:rsid w:val="002F1A9D"/>
    <w:rsid w:val="002F1C0E"/>
    <w:rsid w:val="002F2884"/>
    <w:rsid w:val="002F412E"/>
    <w:rsid w:val="002F7DCF"/>
    <w:rsid w:val="003000D2"/>
    <w:rsid w:val="003014E9"/>
    <w:rsid w:val="00301712"/>
    <w:rsid w:val="00302202"/>
    <w:rsid w:val="00303673"/>
    <w:rsid w:val="00303D9F"/>
    <w:rsid w:val="003206DF"/>
    <w:rsid w:val="00321F47"/>
    <w:rsid w:val="00322151"/>
    <w:rsid w:val="003224C2"/>
    <w:rsid w:val="003238C1"/>
    <w:rsid w:val="003258F2"/>
    <w:rsid w:val="0033148C"/>
    <w:rsid w:val="003359F1"/>
    <w:rsid w:val="00342CD7"/>
    <w:rsid w:val="0034423A"/>
    <w:rsid w:val="003470EF"/>
    <w:rsid w:val="00353D91"/>
    <w:rsid w:val="003554AF"/>
    <w:rsid w:val="00360256"/>
    <w:rsid w:val="003665C2"/>
    <w:rsid w:val="003710F5"/>
    <w:rsid w:val="00380464"/>
    <w:rsid w:val="00380DDD"/>
    <w:rsid w:val="00381180"/>
    <w:rsid w:val="00381B40"/>
    <w:rsid w:val="0038242E"/>
    <w:rsid w:val="00391A2B"/>
    <w:rsid w:val="00396111"/>
    <w:rsid w:val="0039642D"/>
    <w:rsid w:val="00396DCD"/>
    <w:rsid w:val="003A4FE2"/>
    <w:rsid w:val="003A5AF1"/>
    <w:rsid w:val="003A60EA"/>
    <w:rsid w:val="003B3C87"/>
    <w:rsid w:val="003B62BA"/>
    <w:rsid w:val="003C1CA4"/>
    <w:rsid w:val="003C2346"/>
    <w:rsid w:val="003C275B"/>
    <w:rsid w:val="003C62D2"/>
    <w:rsid w:val="003C6A4A"/>
    <w:rsid w:val="003C6B54"/>
    <w:rsid w:val="003D29AD"/>
    <w:rsid w:val="003D4987"/>
    <w:rsid w:val="003E06E4"/>
    <w:rsid w:val="003E235E"/>
    <w:rsid w:val="003E6538"/>
    <w:rsid w:val="003F14A7"/>
    <w:rsid w:val="003F302F"/>
    <w:rsid w:val="003F4E43"/>
    <w:rsid w:val="003F672D"/>
    <w:rsid w:val="00400415"/>
    <w:rsid w:val="0040376C"/>
    <w:rsid w:val="0040757E"/>
    <w:rsid w:val="00411C6C"/>
    <w:rsid w:val="00413316"/>
    <w:rsid w:val="00416B2A"/>
    <w:rsid w:val="00424FCE"/>
    <w:rsid w:val="0043531A"/>
    <w:rsid w:val="004357B5"/>
    <w:rsid w:val="00436EA4"/>
    <w:rsid w:val="00440413"/>
    <w:rsid w:val="0044115C"/>
    <w:rsid w:val="00447AC6"/>
    <w:rsid w:val="004515E4"/>
    <w:rsid w:val="00452A12"/>
    <w:rsid w:val="00452BC2"/>
    <w:rsid w:val="00453481"/>
    <w:rsid w:val="00455F69"/>
    <w:rsid w:val="00460B69"/>
    <w:rsid w:val="00462B0F"/>
    <w:rsid w:val="00462D95"/>
    <w:rsid w:val="00463B25"/>
    <w:rsid w:val="00466E80"/>
    <w:rsid w:val="0047043E"/>
    <w:rsid w:val="00473574"/>
    <w:rsid w:val="00474900"/>
    <w:rsid w:val="00475E1A"/>
    <w:rsid w:val="00476D68"/>
    <w:rsid w:val="00480F42"/>
    <w:rsid w:val="00483F94"/>
    <w:rsid w:val="00485BE3"/>
    <w:rsid w:val="004871BE"/>
    <w:rsid w:val="004875CA"/>
    <w:rsid w:val="00490162"/>
    <w:rsid w:val="00493A97"/>
    <w:rsid w:val="00494E28"/>
    <w:rsid w:val="00495FBC"/>
    <w:rsid w:val="004960B8"/>
    <w:rsid w:val="00496764"/>
    <w:rsid w:val="004A3634"/>
    <w:rsid w:val="004A5E0A"/>
    <w:rsid w:val="004B05D1"/>
    <w:rsid w:val="004B06E9"/>
    <w:rsid w:val="004B6E5B"/>
    <w:rsid w:val="004B7764"/>
    <w:rsid w:val="004D304E"/>
    <w:rsid w:val="004E0122"/>
    <w:rsid w:val="004E3F13"/>
    <w:rsid w:val="004E512F"/>
    <w:rsid w:val="004F1880"/>
    <w:rsid w:val="004F233C"/>
    <w:rsid w:val="004F63A7"/>
    <w:rsid w:val="004F7F22"/>
    <w:rsid w:val="00506076"/>
    <w:rsid w:val="0050676D"/>
    <w:rsid w:val="005124E9"/>
    <w:rsid w:val="00514585"/>
    <w:rsid w:val="00515090"/>
    <w:rsid w:val="00516E46"/>
    <w:rsid w:val="00517192"/>
    <w:rsid w:val="00517D0F"/>
    <w:rsid w:val="005206D1"/>
    <w:rsid w:val="0052198D"/>
    <w:rsid w:val="00525788"/>
    <w:rsid w:val="00527D4D"/>
    <w:rsid w:val="005312BB"/>
    <w:rsid w:val="00534796"/>
    <w:rsid w:val="005372F2"/>
    <w:rsid w:val="005424A7"/>
    <w:rsid w:val="00547EEA"/>
    <w:rsid w:val="0055018D"/>
    <w:rsid w:val="005529CD"/>
    <w:rsid w:val="00552B40"/>
    <w:rsid w:val="00552D4C"/>
    <w:rsid w:val="005539C3"/>
    <w:rsid w:val="00554B27"/>
    <w:rsid w:val="005572A1"/>
    <w:rsid w:val="00557D68"/>
    <w:rsid w:val="00561ED7"/>
    <w:rsid w:val="005651D5"/>
    <w:rsid w:val="00566B38"/>
    <w:rsid w:val="005720EA"/>
    <w:rsid w:val="00575C86"/>
    <w:rsid w:val="005760AC"/>
    <w:rsid w:val="00576932"/>
    <w:rsid w:val="00582FD5"/>
    <w:rsid w:val="005938D9"/>
    <w:rsid w:val="005973E2"/>
    <w:rsid w:val="005A5074"/>
    <w:rsid w:val="005A7AD8"/>
    <w:rsid w:val="005B469F"/>
    <w:rsid w:val="005B59FC"/>
    <w:rsid w:val="005C16E1"/>
    <w:rsid w:val="005C181E"/>
    <w:rsid w:val="005C1CAE"/>
    <w:rsid w:val="005C3E59"/>
    <w:rsid w:val="005C6ACA"/>
    <w:rsid w:val="005C6F4D"/>
    <w:rsid w:val="005C76FB"/>
    <w:rsid w:val="005C7F2B"/>
    <w:rsid w:val="005D25FB"/>
    <w:rsid w:val="005D3CF9"/>
    <w:rsid w:val="005D3F87"/>
    <w:rsid w:val="005E601A"/>
    <w:rsid w:val="005F39BB"/>
    <w:rsid w:val="005F4C1B"/>
    <w:rsid w:val="005F506A"/>
    <w:rsid w:val="005F7C0D"/>
    <w:rsid w:val="0060088A"/>
    <w:rsid w:val="006016F3"/>
    <w:rsid w:val="00603ACA"/>
    <w:rsid w:val="006054FF"/>
    <w:rsid w:val="006059B6"/>
    <w:rsid w:val="0060631C"/>
    <w:rsid w:val="00610B05"/>
    <w:rsid w:val="006167FC"/>
    <w:rsid w:val="00616B1E"/>
    <w:rsid w:val="00621D83"/>
    <w:rsid w:val="00623426"/>
    <w:rsid w:val="0062637D"/>
    <w:rsid w:val="00631E39"/>
    <w:rsid w:val="00632DE7"/>
    <w:rsid w:val="00635960"/>
    <w:rsid w:val="00645375"/>
    <w:rsid w:val="0064714B"/>
    <w:rsid w:val="00647BB4"/>
    <w:rsid w:val="00660A01"/>
    <w:rsid w:val="0066423B"/>
    <w:rsid w:val="00670420"/>
    <w:rsid w:val="0067315B"/>
    <w:rsid w:val="00677292"/>
    <w:rsid w:val="00680A81"/>
    <w:rsid w:val="00681D93"/>
    <w:rsid w:val="006839A7"/>
    <w:rsid w:val="00686AEC"/>
    <w:rsid w:val="00691E1F"/>
    <w:rsid w:val="00693E06"/>
    <w:rsid w:val="00695AE3"/>
    <w:rsid w:val="006A2EEB"/>
    <w:rsid w:val="006A2F1B"/>
    <w:rsid w:val="006A5856"/>
    <w:rsid w:val="006A7CE8"/>
    <w:rsid w:val="006B27B7"/>
    <w:rsid w:val="006B3BC3"/>
    <w:rsid w:val="006C7CD5"/>
    <w:rsid w:val="006D5CA9"/>
    <w:rsid w:val="006D68CA"/>
    <w:rsid w:val="006E1A44"/>
    <w:rsid w:val="006E6D27"/>
    <w:rsid w:val="006F06C7"/>
    <w:rsid w:val="00700356"/>
    <w:rsid w:val="00700AD3"/>
    <w:rsid w:val="00701564"/>
    <w:rsid w:val="00705CA0"/>
    <w:rsid w:val="007064F3"/>
    <w:rsid w:val="00707758"/>
    <w:rsid w:val="00710321"/>
    <w:rsid w:val="00710A3A"/>
    <w:rsid w:val="00712A16"/>
    <w:rsid w:val="00713B57"/>
    <w:rsid w:val="007154DF"/>
    <w:rsid w:val="007156E0"/>
    <w:rsid w:val="00717D7F"/>
    <w:rsid w:val="007200B2"/>
    <w:rsid w:val="00724027"/>
    <w:rsid w:val="007261BA"/>
    <w:rsid w:val="00730ED5"/>
    <w:rsid w:val="00733AC5"/>
    <w:rsid w:val="00735C8B"/>
    <w:rsid w:val="00736166"/>
    <w:rsid w:val="00737674"/>
    <w:rsid w:val="0074192A"/>
    <w:rsid w:val="00745A25"/>
    <w:rsid w:val="00746B05"/>
    <w:rsid w:val="00747AA0"/>
    <w:rsid w:val="0075065B"/>
    <w:rsid w:val="0075077E"/>
    <w:rsid w:val="00751D8C"/>
    <w:rsid w:val="00752F4F"/>
    <w:rsid w:val="007659CF"/>
    <w:rsid w:val="00765B15"/>
    <w:rsid w:val="007722F3"/>
    <w:rsid w:val="00773AD1"/>
    <w:rsid w:val="007836F4"/>
    <w:rsid w:val="00783885"/>
    <w:rsid w:val="00785428"/>
    <w:rsid w:val="007A41A9"/>
    <w:rsid w:val="007A4E44"/>
    <w:rsid w:val="007A5057"/>
    <w:rsid w:val="007B3A43"/>
    <w:rsid w:val="007B67FF"/>
    <w:rsid w:val="007C2BAA"/>
    <w:rsid w:val="007C42FA"/>
    <w:rsid w:val="007C5CEF"/>
    <w:rsid w:val="007C6222"/>
    <w:rsid w:val="007D246D"/>
    <w:rsid w:val="007D35F9"/>
    <w:rsid w:val="007D469A"/>
    <w:rsid w:val="007D4779"/>
    <w:rsid w:val="007D640B"/>
    <w:rsid w:val="007D6DC2"/>
    <w:rsid w:val="007E7E3E"/>
    <w:rsid w:val="007F4978"/>
    <w:rsid w:val="007F6121"/>
    <w:rsid w:val="0080456F"/>
    <w:rsid w:val="00804F8B"/>
    <w:rsid w:val="00810662"/>
    <w:rsid w:val="0081153B"/>
    <w:rsid w:val="008142E2"/>
    <w:rsid w:val="00814F94"/>
    <w:rsid w:val="00816159"/>
    <w:rsid w:val="008161D3"/>
    <w:rsid w:val="00821FA1"/>
    <w:rsid w:val="0082458E"/>
    <w:rsid w:val="00830A10"/>
    <w:rsid w:val="008341F2"/>
    <w:rsid w:val="008425BB"/>
    <w:rsid w:val="00845C5E"/>
    <w:rsid w:val="00846331"/>
    <w:rsid w:val="00846764"/>
    <w:rsid w:val="00846CD8"/>
    <w:rsid w:val="00851847"/>
    <w:rsid w:val="00854D3B"/>
    <w:rsid w:val="0086143E"/>
    <w:rsid w:val="00861487"/>
    <w:rsid w:val="0086156E"/>
    <w:rsid w:val="00865A72"/>
    <w:rsid w:val="00867FCA"/>
    <w:rsid w:val="00873E2C"/>
    <w:rsid w:val="0088587F"/>
    <w:rsid w:val="00886E30"/>
    <w:rsid w:val="00893C1F"/>
    <w:rsid w:val="00894F5D"/>
    <w:rsid w:val="00895BF9"/>
    <w:rsid w:val="008A0B4D"/>
    <w:rsid w:val="008A2F3B"/>
    <w:rsid w:val="008A53BD"/>
    <w:rsid w:val="008A5DBE"/>
    <w:rsid w:val="008B78CD"/>
    <w:rsid w:val="008B7BD1"/>
    <w:rsid w:val="008B7CF0"/>
    <w:rsid w:val="008C419F"/>
    <w:rsid w:val="008D0691"/>
    <w:rsid w:val="008D3B01"/>
    <w:rsid w:val="008D5B8E"/>
    <w:rsid w:val="008E1866"/>
    <w:rsid w:val="008E5562"/>
    <w:rsid w:val="008E7949"/>
    <w:rsid w:val="008F0DE5"/>
    <w:rsid w:val="008F21D4"/>
    <w:rsid w:val="008F3056"/>
    <w:rsid w:val="008F3A14"/>
    <w:rsid w:val="008F6756"/>
    <w:rsid w:val="008F750A"/>
    <w:rsid w:val="009044FD"/>
    <w:rsid w:val="00910775"/>
    <w:rsid w:val="00913BB6"/>
    <w:rsid w:val="009144C0"/>
    <w:rsid w:val="00916859"/>
    <w:rsid w:val="00917ADE"/>
    <w:rsid w:val="00932BEE"/>
    <w:rsid w:val="009340D8"/>
    <w:rsid w:val="00935B4E"/>
    <w:rsid w:val="0093792C"/>
    <w:rsid w:val="00937BCB"/>
    <w:rsid w:val="00941C53"/>
    <w:rsid w:val="00942CED"/>
    <w:rsid w:val="009433F3"/>
    <w:rsid w:val="00946778"/>
    <w:rsid w:val="009474F6"/>
    <w:rsid w:val="00950721"/>
    <w:rsid w:val="00951F3C"/>
    <w:rsid w:val="00952179"/>
    <w:rsid w:val="0095354A"/>
    <w:rsid w:val="0095754A"/>
    <w:rsid w:val="0096370A"/>
    <w:rsid w:val="00963A9F"/>
    <w:rsid w:val="00966EAD"/>
    <w:rsid w:val="00972CD0"/>
    <w:rsid w:val="0097392C"/>
    <w:rsid w:val="00974318"/>
    <w:rsid w:val="00975A64"/>
    <w:rsid w:val="00975A6C"/>
    <w:rsid w:val="009770DD"/>
    <w:rsid w:val="00985492"/>
    <w:rsid w:val="009857DE"/>
    <w:rsid w:val="009929A1"/>
    <w:rsid w:val="009934CC"/>
    <w:rsid w:val="0099440D"/>
    <w:rsid w:val="009A0C33"/>
    <w:rsid w:val="009A0FDB"/>
    <w:rsid w:val="009A2BA5"/>
    <w:rsid w:val="009A2C20"/>
    <w:rsid w:val="009A69BB"/>
    <w:rsid w:val="009A6DC8"/>
    <w:rsid w:val="009A7E2F"/>
    <w:rsid w:val="009B18C0"/>
    <w:rsid w:val="009B20A9"/>
    <w:rsid w:val="009B2861"/>
    <w:rsid w:val="009B28F0"/>
    <w:rsid w:val="009B3205"/>
    <w:rsid w:val="009B6007"/>
    <w:rsid w:val="009B66DD"/>
    <w:rsid w:val="009B7B49"/>
    <w:rsid w:val="009C2002"/>
    <w:rsid w:val="009C4112"/>
    <w:rsid w:val="009C5F54"/>
    <w:rsid w:val="009D5D78"/>
    <w:rsid w:val="009E22E5"/>
    <w:rsid w:val="009E2CFA"/>
    <w:rsid w:val="009F2040"/>
    <w:rsid w:val="009F6D09"/>
    <w:rsid w:val="009F7678"/>
    <w:rsid w:val="009F7FAD"/>
    <w:rsid w:val="00A01F06"/>
    <w:rsid w:val="00A027D3"/>
    <w:rsid w:val="00A03866"/>
    <w:rsid w:val="00A03D7D"/>
    <w:rsid w:val="00A069D3"/>
    <w:rsid w:val="00A06F7B"/>
    <w:rsid w:val="00A07227"/>
    <w:rsid w:val="00A1052C"/>
    <w:rsid w:val="00A15E0A"/>
    <w:rsid w:val="00A272ED"/>
    <w:rsid w:val="00A3190A"/>
    <w:rsid w:val="00A322F6"/>
    <w:rsid w:val="00A5027F"/>
    <w:rsid w:val="00A51CE9"/>
    <w:rsid w:val="00A6278F"/>
    <w:rsid w:val="00A65E5B"/>
    <w:rsid w:val="00A70BE6"/>
    <w:rsid w:val="00A71A00"/>
    <w:rsid w:val="00A726FB"/>
    <w:rsid w:val="00A776AC"/>
    <w:rsid w:val="00A77AC6"/>
    <w:rsid w:val="00A77F68"/>
    <w:rsid w:val="00A80274"/>
    <w:rsid w:val="00A81D26"/>
    <w:rsid w:val="00A82C0B"/>
    <w:rsid w:val="00A83C32"/>
    <w:rsid w:val="00A83F21"/>
    <w:rsid w:val="00A85339"/>
    <w:rsid w:val="00A93761"/>
    <w:rsid w:val="00A959A8"/>
    <w:rsid w:val="00A974B8"/>
    <w:rsid w:val="00A97922"/>
    <w:rsid w:val="00AA301E"/>
    <w:rsid w:val="00AA58F9"/>
    <w:rsid w:val="00AB2FD4"/>
    <w:rsid w:val="00AB32DF"/>
    <w:rsid w:val="00AB632C"/>
    <w:rsid w:val="00AC0B45"/>
    <w:rsid w:val="00AC3F1D"/>
    <w:rsid w:val="00AC432D"/>
    <w:rsid w:val="00AD0083"/>
    <w:rsid w:val="00AD545A"/>
    <w:rsid w:val="00AD61C8"/>
    <w:rsid w:val="00AD7D1A"/>
    <w:rsid w:val="00AE0D40"/>
    <w:rsid w:val="00AE23B3"/>
    <w:rsid w:val="00AE44DF"/>
    <w:rsid w:val="00AE50DF"/>
    <w:rsid w:val="00AE5AD8"/>
    <w:rsid w:val="00AE68FD"/>
    <w:rsid w:val="00AF0E96"/>
    <w:rsid w:val="00AF14FE"/>
    <w:rsid w:val="00AF2363"/>
    <w:rsid w:val="00AF5C14"/>
    <w:rsid w:val="00AF7701"/>
    <w:rsid w:val="00B0163C"/>
    <w:rsid w:val="00B01DAC"/>
    <w:rsid w:val="00B0357F"/>
    <w:rsid w:val="00B06180"/>
    <w:rsid w:val="00B07DB8"/>
    <w:rsid w:val="00B14B6E"/>
    <w:rsid w:val="00B15D39"/>
    <w:rsid w:val="00B1788C"/>
    <w:rsid w:val="00B21799"/>
    <w:rsid w:val="00B230B7"/>
    <w:rsid w:val="00B26529"/>
    <w:rsid w:val="00B300DB"/>
    <w:rsid w:val="00B32F1F"/>
    <w:rsid w:val="00B343A8"/>
    <w:rsid w:val="00B371BE"/>
    <w:rsid w:val="00B377F8"/>
    <w:rsid w:val="00B40FDB"/>
    <w:rsid w:val="00B4208D"/>
    <w:rsid w:val="00B45BC6"/>
    <w:rsid w:val="00B45EE4"/>
    <w:rsid w:val="00B504FA"/>
    <w:rsid w:val="00B5523C"/>
    <w:rsid w:val="00B6107C"/>
    <w:rsid w:val="00B615EE"/>
    <w:rsid w:val="00B62B47"/>
    <w:rsid w:val="00B675E2"/>
    <w:rsid w:val="00B67E3A"/>
    <w:rsid w:val="00B717C4"/>
    <w:rsid w:val="00B7624C"/>
    <w:rsid w:val="00B76AED"/>
    <w:rsid w:val="00B8254D"/>
    <w:rsid w:val="00B85903"/>
    <w:rsid w:val="00B863BA"/>
    <w:rsid w:val="00B90AA3"/>
    <w:rsid w:val="00B913EF"/>
    <w:rsid w:val="00B922A1"/>
    <w:rsid w:val="00B93586"/>
    <w:rsid w:val="00B95E53"/>
    <w:rsid w:val="00B97C05"/>
    <w:rsid w:val="00BA2BB4"/>
    <w:rsid w:val="00BA34C1"/>
    <w:rsid w:val="00BB2D96"/>
    <w:rsid w:val="00BB384E"/>
    <w:rsid w:val="00BC208D"/>
    <w:rsid w:val="00BC64EA"/>
    <w:rsid w:val="00BD2C73"/>
    <w:rsid w:val="00BD59DE"/>
    <w:rsid w:val="00BE0511"/>
    <w:rsid w:val="00BE2A37"/>
    <w:rsid w:val="00BE429A"/>
    <w:rsid w:val="00BE48E8"/>
    <w:rsid w:val="00BE5773"/>
    <w:rsid w:val="00BE61AF"/>
    <w:rsid w:val="00BF1C28"/>
    <w:rsid w:val="00BF3AEA"/>
    <w:rsid w:val="00BF495A"/>
    <w:rsid w:val="00BF613D"/>
    <w:rsid w:val="00BF6653"/>
    <w:rsid w:val="00C014B5"/>
    <w:rsid w:val="00C03651"/>
    <w:rsid w:val="00C042C9"/>
    <w:rsid w:val="00C04CC0"/>
    <w:rsid w:val="00C05773"/>
    <w:rsid w:val="00C061B4"/>
    <w:rsid w:val="00C0692B"/>
    <w:rsid w:val="00C06936"/>
    <w:rsid w:val="00C06A09"/>
    <w:rsid w:val="00C104BC"/>
    <w:rsid w:val="00C13146"/>
    <w:rsid w:val="00C1350F"/>
    <w:rsid w:val="00C20CB6"/>
    <w:rsid w:val="00C232BB"/>
    <w:rsid w:val="00C34F7E"/>
    <w:rsid w:val="00C37D4F"/>
    <w:rsid w:val="00C4352B"/>
    <w:rsid w:val="00C43F0A"/>
    <w:rsid w:val="00C4567E"/>
    <w:rsid w:val="00C45CB9"/>
    <w:rsid w:val="00C5069C"/>
    <w:rsid w:val="00C51B12"/>
    <w:rsid w:val="00C60DD7"/>
    <w:rsid w:val="00C64168"/>
    <w:rsid w:val="00C76887"/>
    <w:rsid w:val="00C870FF"/>
    <w:rsid w:val="00C87D6E"/>
    <w:rsid w:val="00C934D5"/>
    <w:rsid w:val="00C93F20"/>
    <w:rsid w:val="00C9470F"/>
    <w:rsid w:val="00C94F28"/>
    <w:rsid w:val="00C95C45"/>
    <w:rsid w:val="00C967F2"/>
    <w:rsid w:val="00CA2E01"/>
    <w:rsid w:val="00CA38C0"/>
    <w:rsid w:val="00CA4B85"/>
    <w:rsid w:val="00CA522B"/>
    <w:rsid w:val="00CA6430"/>
    <w:rsid w:val="00CB1A4A"/>
    <w:rsid w:val="00CB4973"/>
    <w:rsid w:val="00CB5C8A"/>
    <w:rsid w:val="00CB7654"/>
    <w:rsid w:val="00CC21DB"/>
    <w:rsid w:val="00CC2EE7"/>
    <w:rsid w:val="00CC5CBB"/>
    <w:rsid w:val="00CD05A5"/>
    <w:rsid w:val="00CD12C6"/>
    <w:rsid w:val="00CD2A8D"/>
    <w:rsid w:val="00CE13B5"/>
    <w:rsid w:val="00CE5C07"/>
    <w:rsid w:val="00CF085F"/>
    <w:rsid w:val="00CF52C3"/>
    <w:rsid w:val="00CF5FAA"/>
    <w:rsid w:val="00CF654D"/>
    <w:rsid w:val="00D0184E"/>
    <w:rsid w:val="00D03494"/>
    <w:rsid w:val="00D04CC5"/>
    <w:rsid w:val="00D13C93"/>
    <w:rsid w:val="00D16D1B"/>
    <w:rsid w:val="00D20B41"/>
    <w:rsid w:val="00D20F0D"/>
    <w:rsid w:val="00D215BE"/>
    <w:rsid w:val="00D24ABA"/>
    <w:rsid w:val="00D2779B"/>
    <w:rsid w:val="00D325AF"/>
    <w:rsid w:val="00D32E91"/>
    <w:rsid w:val="00D34495"/>
    <w:rsid w:val="00D35796"/>
    <w:rsid w:val="00D410FB"/>
    <w:rsid w:val="00D4344A"/>
    <w:rsid w:val="00D447BD"/>
    <w:rsid w:val="00D454A7"/>
    <w:rsid w:val="00D4665A"/>
    <w:rsid w:val="00D50B98"/>
    <w:rsid w:val="00D5610F"/>
    <w:rsid w:val="00D57835"/>
    <w:rsid w:val="00D63D0A"/>
    <w:rsid w:val="00D674BE"/>
    <w:rsid w:val="00D70C65"/>
    <w:rsid w:val="00D727BE"/>
    <w:rsid w:val="00D77540"/>
    <w:rsid w:val="00D84EAE"/>
    <w:rsid w:val="00D908CD"/>
    <w:rsid w:val="00D912D0"/>
    <w:rsid w:val="00D92B2C"/>
    <w:rsid w:val="00DA08BA"/>
    <w:rsid w:val="00DA2111"/>
    <w:rsid w:val="00DA40E4"/>
    <w:rsid w:val="00DB0771"/>
    <w:rsid w:val="00DB1E08"/>
    <w:rsid w:val="00DB3D71"/>
    <w:rsid w:val="00DB5656"/>
    <w:rsid w:val="00DB5D6D"/>
    <w:rsid w:val="00DB7E46"/>
    <w:rsid w:val="00DC09D6"/>
    <w:rsid w:val="00DC6960"/>
    <w:rsid w:val="00DC7E82"/>
    <w:rsid w:val="00DD0F88"/>
    <w:rsid w:val="00DD2BA5"/>
    <w:rsid w:val="00DD4C54"/>
    <w:rsid w:val="00DE04EB"/>
    <w:rsid w:val="00DE119D"/>
    <w:rsid w:val="00DE4882"/>
    <w:rsid w:val="00DE4AC5"/>
    <w:rsid w:val="00DF317D"/>
    <w:rsid w:val="00E02C3C"/>
    <w:rsid w:val="00E1026D"/>
    <w:rsid w:val="00E135A1"/>
    <w:rsid w:val="00E15863"/>
    <w:rsid w:val="00E15DDC"/>
    <w:rsid w:val="00E2232F"/>
    <w:rsid w:val="00E30B0F"/>
    <w:rsid w:val="00E30BBE"/>
    <w:rsid w:val="00E33BE9"/>
    <w:rsid w:val="00E3616A"/>
    <w:rsid w:val="00E37E3B"/>
    <w:rsid w:val="00E4400B"/>
    <w:rsid w:val="00E453FD"/>
    <w:rsid w:val="00E45E3B"/>
    <w:rsid w:val="00E51428"/>
    <w:rsid w:val="00E51AFB"/>
    <w:rsid w:val="00E563DC"/>
    <w:rsid w:val="00E60AB1"/>
    <w:rsid w:val="00E6531B"/>
    <w:rsid w:val="00E703B7"/>
    <w:rsid w:val="00E74B1C"/>
    <w:rsid w:val="00E75685"/>
    <w:rsid w:val="00E77B56"/>
    <w:rsid w:val="00E80884"/>
    <w:rsid w:val="00E839A3"/>
    <w:rsid w:val="00E83A7E"/>
    <w:rsid w:val="00E85616"/>
    <w:rsid w:val="00E943EB"/>
    <w:rsid w:val="00E95CE6"/>
    <w:rsid w:val="00E96D14"/>
    <w:rsid w:val="00EA5F90"/>
    <w:rsid w:val="00EB11CD"/>
    <w:rsid w:val="00EB62FD"/>
    <w:rsid w:val="00EC2068"/>
    <w:rsid w:val="00EC545B"/>
    <w:rsid w:val="00EC7E9E"/>
    <w:rsid w:val="00ED1291"/>
    <w:rsid w:val="00ED22DA"/>
    <w:rsid w:val="00ED580B"/>
    <w:rsid w:val="00ED7375"/>
    <w:rsid w:val="00EE7476"/>
    <w:rsid w:val="00EF08B3"/>
    <w:rsid w:val="00EF0E30"/>
    <w:rsid w:val="00EF4019"/>
    <w:rsid w:val="00EF77B2"/>
    <w:rsid w:val="00F00A78"/>
    <w:rsid w:val="00F035D9"/>
    <w:rsid w:val="00F06B5B"/>
    <w:rsid w:val="00F077ED"/>
    <w:rsid w:val="00F1140E"/>
    <w:rsid w:val="00F11FEF"/>
    <w:rsid w:val="00F12788"/>
    <w:rsid w:val="00F142D0"/>
    <w:rsid w:val="00F16A80"/>
    <w:rsid w:val="00F17CE2"/>
    <w:rsid w:val="00F21260"/>
    <w:rsid w:val="00F21669"/>
    <w:rsid w:val="00F236B0"/>
    <w:rsid w:val="00F2407D"/>
    <w:rsid w:val="00F27608"/>
    <w:rsid w:val="00F4419F"/>
    <w:rsid w:val="00F44792"/>
    <w:rsid w:val="00F44D66"/>
    <w:rsid w:val="00F579A2"/>
    <w:rsid w:val="00F579EA"/>
    <w:rsid w:val="00F62784"/>
    <w:rsid w:val="00F64A63"/>
    <w:rsid w:val="00F64E47"/>
    <w:rsid w:val="00F651B1"/>
    <w:rsid w:val="00F6538E"/>
    <w:rsid w:val="00F667D4"/>
    <w:rsid w:val="00F74390"/>
    <w:rsid w:val="00F800C3"/>
    <w:rsid w:val="00F80600"/>
    <w:rsid w:val="00F806CF"/>
    <w:rsid w:val="00F8477C"/>
    <w:rsid w:val="00F85A26"/>
    <w:rsid w:val="00F91203"/>
    <w:rsid w:val="00F91D26"/>
    <w:rsid w:val="00F92BBF"/>
    <w:rsid w:val="00F92DD7"/>
    <w:rsid w:val="00F95435"/>
    <w:rsid w:val="00F9637E"/>
    <w:rsid w:val="00F96857"/>
    <w:rsid w:val="00FA0527"/>
    <w:rsid w:val="00FA169C"/>
    <w:rsid w:val="00FA16AA"/>
    <w:rsid w:val="00FA5E5B"/>
    <w:rsid w:val="00FB2749"/>
    <w:rsid w:val="00FB2EBE"/>
    <w:rsid w:val="00FB4CFD"/>
    <w:rsid w:val="00FB4E9E"/>
    <w:rsid w:val="00FB6441"/>
    <w:rsid w:val="00FC059F"/>
    <w:rsid w:val="00FC2641"/>
    <w:rsid w:val="00FC2AE4"/>
    <w:rsid w:val="00FC5AA5"/>
    <w:rsid w:val="00FD0A0D"/>
    <w:rsid w:val="00FD10C4"/>
    <w:rsid w:val="00FD29A1"/>
    <w:rsid w:val="00FD311E"/>
    <w:rsid w:val="00FD4D48"/>
    <w:rsid w:val="00FD5E44"/>
    <w:rsid w:val="00FE31A9"/>
    <w:rsid w:val="00FE62AF"/>
    <w:rsid w:val="00FF1593"/>
    <w:rsid w:val="00FF6909"/>
    <w:rsid w:val="00FF74AA"/>
    <w:rsid w:val="00FF795A"/>
    <w:rsid w:val="00FF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f">
    <w:name w:val="Table Grid"/>
    <w:basedOn w:val="a1"/>
    <w:uiPriority w:val="59"/>
    <w:rsid w:val="0049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2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3">
    <w:name w:val="Normal (Web)"/>
    <w:basedOn w:val="a"/>
    <w:uiPriority w:val="99"/>
    <w:unhideWhenUsed/>
    <w:rsid w:val="00FD4D48"/>
    <w:pPr>
      <w:spacing w:after="215"/>
    </w:pPr>
  </w:style>
  <w:style w:type="paragraph" w:styleId="af4">
    <w:name w:val="Body Text Indent"/>
    <w:basedOn w:val="a"/>
    <w:link w:val="af5"/>
    <w:rsid w:val="0038118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81180"/>
    <w:rPr>
      <w:sz w:val="24"/>
      <w:szCs w:val="24"/>
    </w:rPr>
  </w:style>
  <w:style w:type="character" w:customStyle="1" w:styleId="ft">
    <w:name w:val="ft"/>
    <w:basedOn w:val="a0"/>
    <w:rsid w:val="00C0692B"/>
  </w:style>
  <w:style w:type="character" w:customStyle="1" w:styleId="ae">
    <w:name w:val="Абзац списка Знак"/>
    <w:link w:val="ad"/>
    <w:uiPriority w:val="34"/>
    <w:locked/>
    <w:rsid w:val="00F91D26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1212B45224C04E2D4E942FB501E20F2649F8115857446C7756D7B2A4F474FD11C82FBCBBCCAE85M7w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49E3786-6DF1-460A-AF04-05BF189F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ГОСУДАРСТВЕННОЙ СЛУЖБЫ ЗАНЯТОСТИ НАСЕЛЕНИЯ УДМУРТСКОЙ РЕСПУБЛИКИ</vt:lpstr>
    </vt:vector>
  </TitlesOfParts>
  <Company>УГСЗН УР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ГОСУДАРСТВЕННОЙ СЛУЖБЫ ЗАНЯТОСТИ НАСЕЛЕНИЯ УДМУРТСКОЙ РЕСПУБЛИКИ</dc:title>
  <dc:creator>Белетченко Галина Васильевна</dc:creator>
  <cp:lastModifiedBy>пользователь</cp:lastModifiedBy>
  <cp:revision>44</cp:revision>
  <cp:lastPrinted>2020-06-01T05:09:00Z</cp:lastPrinted>
  <dcterms:created xsi:type="dcterms:W3CDTF">2018-04-11T05:58:00Z</dcterms:created>
  <dcterms:modified xsi:type="dcterms:W3CDTF">2020-06-01T05:15:00Z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1203464605</vt:i4>
  </property>
</Properties>
</file>